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37A99C" w14:textId="3A800E1E" w:rsidR="00FC7494" w:rsidRDefault="00265396" w:rsidP="00CA4643">
      <w:pPr>
        <w:spacing w:afterLines="120" w:after="288" w:line="360" w:lineRule="auto"/>
        <w:jc w:val="center"/>
        <w:rPr>
          <w:rFonts w:cs="Calibri"/>
          <w:b/>
          <w:bCs/>
          <w:color w:val="000000"/>
        </w:rPr>
      </w:pPr>
      <w:r>
        <w:rPr>
          <w:rFonts w:cs="Calibri"/>
          <w:b/>
          <w:bCs/>
          <w:color w:val="000000"/>
        </w:rPr>
        <w:t>ANEXO VI</w:t>
      </w:r>
    </w:p>
    <w:p w14:paraId="2172ACDA" w14:textId="77777777" w:rsidR="00FC7494" w:rsidRPr="00B3681E" w:rsidRDefault="00FC7494" w:rsidP="00CA4643">
      <w:pPr>
        <w:spacing w:afterLines="120" w:after="288" w:line="360" w:lineRule="auto"/>
        <w:jc w:val="center"/>
        <w:rPr>
          <w:rFonts w:cs="Calibri"/>
          <w:b/>
          <w:bCs/>
          <w:color w:val="000000"/>
        </w:rPr>
      </w:pPr>
      <w:r w:rsidRPr="00B3681E">
        <w:rPr>
          <w:rFonts w:cs="Calibri"/>
          <w:b/>
          <w:bCs/>
          <w:color w:val="000000"/>
        </w:rPr>
        <w:t>MODELO DE TERMO DE CONTRATO</w:t>
      </w:r>
      <w:r w:rsidRPr="00B3681E">
        <w:rPr>
          <w:rFonts w:cs="Calibri"/>
          <w:b/>
          <w:bCs/>
          <w:color w:val="000000"/>
        </w:rPr>
        <w:br/>
        <w:t>Lei nº 14.133, de 1º de abril de 2021</w:t>
      </w:r>
      <w:r w:rsidRPr="00B3681E">
        <w:rPr>
          <w:rFonts w:cs="Calibri"/>
          <w:b/>
          <w:bCs/>
          <w:color w:val="000000"/>
        </w:rPr>
        <w:br/>
        <w:t>AQUISIÇÕES – LICITAÇÃO</w:t>
      </w:r>
    </w:p>
    <w:p w14:paraId="475DDF51" w14:textId="77777777" w:rsidR="00FC7494" w:rsidRPr="00B3681E" w:rsidRDefault="00FC7494" w:rsidP="00CA4643">
      <w:pPr>
        <w:spacing w:before="120" w:afterLines="120" w:after="288" w:line="360" w:lineRule="auto"/>
        <w:rPr>
          <w:rFonts w:cs="Calibri"/>
          <w:color w:val="000000"/>
        </w:rPr>
      </w:pPr>
    </w:p>
    <w:p w14:paraId="774D0223" w14:textId="7EFCD59B" w:rsidR="00FC7494" w:rsidRPr="00B3681E" w:rsidRDefault="00FC7494" w:rsidP="00CA4643">
      <w:pPr>
        <w:widowControl w:val="0"/>
        <w:tabs>
          <w:tab w:val="left" w:pos="6190"/>
        </w:tabs>
        <w:spacing w:line="360" w:lineRule="auto"/>
        <w:ind w:firstLine="57"/>
        <w:jc w:val="both"/>
        <w:outlineLvl w:val="3"/>
        <w:rPr>
          <w:rFonts w:eastAsia="Arial" w:cs="Calibri"/>
          <w:b/>
          <w:bCs/>
        </w:rPr>
      </w:pPr>
      <w:r w:rsidRPr="00B3681E">
        <w:rPr>
          <w:rFonts w:eastAsia="Arial" w:cs="Calibri"/>
          <w:b/>
          <w:bCs/>
        </w:rPr>
        <w:t>CONTRATO Nº XXXX/202</w:t>
      </w:r>
      <w:r w:rsidR="00B30966">
        <w:rPr>
          <w:rFonts w:eastAsia="Arial" w:cs="Calibri"/>
          <w:b/>
          <w:bCs/>
        </w:rPr>
        <w:t>6</w:t>
      </w:r>
    </w:p>
    <w:p w14:paraId="6057DF24" w14:textId="1A3C1CDF" w:rsidR="00FC7494" w:rsidRPr="00B3681E" w:rsidRDefault="00FC7494" w:rsidP="00CA4643">
      <w:pPr>
        <w:spacing w:line="360" w:lineRule="auto"/>
        <w:ind w:firstLine="57"/>
        <w:jc w:val="both"/>
        <w:rPr>
          <w:rFonts w:cs="Calibri"/>
          <w:b/>
        </w:rPr>
      </w:pPr>
      <w:r w:rsidRPr="00B3681E">
        <w:rPr>
          <w:rFonts w:cs="Calibri"/>
          <w:b/>
        </w:rPr>
        <w:t xml:space="preserve">PREGÃO ELETRÔNICO Nº </w:t>
      </w:r>
      <w:r w:rsidR="009C208E">
        <w:rPr>
          <w:rFonts w:cs="Calibri"/>
          <w:b/>
        </w:rPr>
        <w:t>035</w:t>
      </w:r>
      <w:r w:rsidRPr="00B3681E">
        <w:rPr>
          <w:rFonts w:cs="Calibri"/>
          <w:b/>
        </w:rPr>
        <w:t>/202</w:t>
      </w:r>
      <w:r w:rsidR="00FD59D0">
        <w:rPr>
          <w:rFonts w:cs="Calibri"/>
          <w:b/>
        </w:rPr>
        <w:t>6</w:t>
      </w:r>
    </w:p>
    <w:p w14:paraId="26184D9C" w14:textId="282CCE4C" w:rsidR="00FC7494" w:rsidRPr="00B3681E" w:rsidRDefault="00FC7494" w:rsidP="00CA4643">
      <w:pPr>
        <w:spacing w:line="360" w:lineRule="auto"/>
        <w:ind w:firstLine="57"/>
        <w:jc w:val="both"/>
        <w:rPr>
          <w:rFonts w:cs="Calibri"/>
          <w:b/>
        </w:rPr>
      </w:pPr>
      <w:r w:rsidRPr="00B3681E">
        <w:rPr>
          <w:rFonts w:cs="Calibri"/>
          <w:b/>
        </w:rPr>
        <w:t>PROCESSO ADMINISTRATIVO Nº</w:t>
      </w:r>
      <w:r>
        <w:rPr>
          <w:rFonts w:cs="Calibri"/>
          <w:b/>
        </w:rPr>
        <w:t xml:space="preserve"> </w:t>
      </w:r>
      <w:r w:rsidR="00BA68FC">
        <w:rPr>
          <w:rFonts w:cs="Calibri"/>
          <w:b/>
        </w:rPr>
        <w:t>033</w:t>
      </w:r>
      <w:r>
        <w:rPr>
          <w:rFonts w:cs="Calibri"/>
          <w:b/>
        </w:rPr>
        <w:t>/202</w:t>
      </w:r>
      <w:r w:rsidR="009C208E">
        <w:rPr>
          <w:rFonts w:cs="Calibri"/>
          <w:b/>
        </w:rPr>
        <w:t>6</w:t>
      </w:r>
    </w:p>
    <w:p w14:paraId="1FC85455" w14:textId="3E608A81" w:rsidR="00FC7494" w:rsidRDefault="00FC7494" w:rsidP="00BA68FC">
      <w:pPr>
        <w:spacing w:before="100" w:beforeAutospacing="1" w:after="100" w:afterAutospacing="1" w:line="240" w:lineRule="auto"/>
        <w:ind w:left="5954"/>
        <w:jc w:val="both"/>
        <w:rPr>
          <w:rFonts w:cs="Calibri"/>
          <w:b/>
          <w:bCs/>
        </w:rPr>
      </w:pPr>
      <w:r w:rsidRPr="00B3681E">
        <w:rPr>
          <w:rFonts w:cs="Calibri"/>
          <w:b/>
        </w:rPr>
        <w:t>CONTRATO CELEBRADO PELO MUNICÍPIO DE SAQUAREMA E PELA EMPRESA__________________________________________________________, QUE TEM POR OBJETO</w:t>
      </w:r>
      <w:r>
        <w:rPr>
          <w:rFonts w:cs="Calibri"/>
          <w:b/>
        </w:rPr>
        <w:t xml:space="preserve"> </w:t>
      </w:r>
      <w:r w:rsidR="00BA68FC" w:rsidRPr="007F59AD">
        <w:rPr>
          <w:b/>
          <w:bCs/>
        </w:rPr>
        <w:t xml:space="preserve">A CONTRATAÇÃO DE EMPRESA ESPECIALIZADA PARA AQUISIÇÃO DE </w:t>
      </w:r>
      <w:r w:rsidR="00BA68FC" w:rsidRPr="007F59AD">
        <w:rPr>
          <w:b/>
          <w:bCs/>
          <w:iCs/>
        </w:rPr>
        <w:t>MOBILIÁRIO CORPORATIVO E ADMINISTRATIVO</w:t>
      </w:r>
      <w:r w:rsidR="00BA68FC" w:rsidRPr="007F59AD">
        <w:rPr>
          <w:b/>
          <w:bCs/>
        </w:rPr>
        <w:t xml:space="preserve"> EM MDF, AÇO E ESTRUTURAS METÁLICAS VISANDO O ATENDIMENTO DAS UNIDADES DA SECRETARIA DE EDUCAÇÃO, CULTURA, INCLUSÃO, CIÊNCIA E TECNOLOGIA.</w:t>
      </w:r>
    </w:p>
    <w:p w14:paraId="75CAB239" w14:textId="77777777" w:rsidR="007047E9" w:rsidRDefault="007047E9" w:rsidP="00CA4643">
      <w:pPr>
        <w:spacing w:before="100" w:beforeAutospacing="1" w:after="100" w:afterAutospacing="1" w:line="360" w:lineRule="auto"/>
        <w:jc w:val="both"/>
        <w:rPr>
          <w:rFonts w:cs="Calibri"/>
          <w:b/>
          <w:bCs/>
        </w:rPr>
      </w:pPr>
    </w:p>
    <w:p w14:paraId="13BB4F9C" w14:textId="77777777" w:rsidR="007047E9" w:rsidRDefault="007047E9" w:rsidP="00CA4643">
      <w:pPr>
        <w:spacing w:before="100" w:beforeAutospacing="1" w:after="100" w:afterAutospacing="1" w:line="360" w:lineRule="auto"/>
        <w:jc w:val="both"/>
        <w:rPr>
          <w:rFonts w:cs="Calibri"/>
          <w:b/>
          <w:bCs/>
        </w:rPr>
      </w:pPr>
    </w:p>
    <w:p w14:paraId="6357FCD2" w14:textId="44969430" w:rsidR="00FC7494" w:rsidRPr="00B3681E" w:rsidRDefault="00FC7494" w:rsidP="00CA4643">
      <w:pPr>
        <w:spacing w:before="100" w:beforeAutospacing="1" w:after="100" w:afterAutospacing="1" w:line="360" w:lineRule="auto"/>
        <w:jc w:val="both"/>
        <w:rPr>
          <w:rFonts w:cs="Calibri"/>
          <w:b/>
        </w:rPr>
      </w:pPr>
      <w:r w:rsidRPr="00B3681E">
        <w:rPr>
          <w:rFonts w:cs="Calibri"/>
          <w:b/>
          <w:bCs/>
        </w:rPr>
        <w:lastRenderedPageBreak/>
        <w:t>CONTRATANTE: MUNICÍPIO DE SAQUAREMA</w:t>
      </w:r>
      <w:r w:rsidRPr="00B3681E">
        <w:rPr>
          <w:rFonts w:cs="Calibri"/>
          <w:b/>
        </w:rPr>
        <w:t xml:space="preserve">, </w:t>
      </w:r>
      <w:r w:rsidRPr="00B3681E">
        <w:rPr>
          <w:rFonts w:cs="Calibri"/>
        </w:rPr>
        <w:t>inscrito no CNPJ sob o nº. 32.147.670/0001-21, com sede na Rua Coronel Madureira, 77– Centro, Saquarema – RJ, CEP 28990-756, doravante denominado MUNICÍPIO, neste ato representado pel</w:t>
      </w:r>
      <w:r w:rsidR="007047E9">
        <w:rPr>
          <w:rFonts w:cs="Calibri"/>
        </w:rPr>
        <w:t>a</w:t>
      </w:r>
      <w:r w:rsidRPr="00B3681E">
        <w:rPr>
          <w:rFonts w:cs="Calibri"/>
        </w:rPr>
        <w:t xml:space="preserve"> </w:t>
      </w:r>
      <w:r w:rsidRPr="00DC4BA6">
        <w:rPr>
          <w:rFonts w:cs="Calibri"/>
        </w:rPr>
        <w:t>Secret</w:t>
      </w:r>
      <w:r w:rsidR="007047E9">
        <w:rPr>
          <w:rFonts w:cs="Calibri"/>
        </w:rPr>
        <w:t>a</w:t>
      </w:r>
      <w:r w:rsidRPr="00DC4BA6">
        <w:rPr>
          <w:rFonts w:cs="Calibri"/>
        </w:rPr>
        <w:t>ria Municipal de</w:t>
      </w:r>
      <w:r>
        <w:rPr>
          <w:rFonts w:cs="Calibri"/>
        </w:rPr>
        <w:t xml:space="preserve"> </w:t>
      </w:r>
      <w:r w:rsidR="007047E9">
        <w:rPr>
          <w:rFonts w:cs="Calibri"/>
        </w:rPr>
        <w:t>Educação, Cultura, Inclusão, Ciência e Tecnologia</w:t>
      </w:r>
      <w:r w:rsidRPr="00DC4BA6">
        <w:rPr>
          <w:rFonts w:cs="Calibri"/>
        </w:rPr>
        <w:t>, portador</w:t>
      </w:r>
      <w:r w:rsidR="006A43D2">
        <w:rPr>
          <w:rFonts w:cs="Calibri"/>
        </w:rPr>
        <w:t>a</w:t>
      </w:r>
      <w:r w:rsidRPr="00DC4BA6">
        <w:rPr>
          <w:rFonts w:cs="Calibri"/>
        </w:rPr>
        <w:t xml:space="preserve"> da carteira de identidade nº ___________,   inscrito no CPF/MF sob o nº ___________,   nomeado pela  Portaria nº </w:t>
      </w:r>
      <w:r w:rsidR="007047E9">
        <w:rPr>
          <w:rFonts w:cs="Calibri"/>
        </w:rPr>
        <w:t>xx</w:t>
      </w:r>
      <w:r w:rsidRPr="00DC4BA6">
        <w:rPr>
          <w:rFonts w:cs="Calibri"/>
        </w:rPr>
        <w:t xml:space="preserve"> de </w:t>
      </w:r>
      <w:r w:rsidR="007047E9">
        <w:rPr>
          <w:rFonts w:cs="Calibri"/>
        </w:rPr>
        <w:t>xx</w:t>
      </w:r>
      <w:r w:rsidRPr="00DC4BA6">
        <w:rPr>
          <w:rFonts w:cs="Calibri"/>
        </w:rPr>
        <w:t xml:space="preserve"> de </w:t>
      </w:r>
      <w:r w:rsidR="007047E9">
        <w:rPr>
          <w:rFonts w:cs="Calibri"/>
        </w:rPr>
        <w:t>xxxx</w:t>
      </w:r>
      <w:r w:rsidRPr="00DC4BA6">
        <w:rPr>
          <w:rFonts w:cs="Calibri"/>
        </w:rPr>
        <w:t xml:space="preserve"> de 202</w:t>
      </w:r>
      <w:r w:rsidR="00D31C6E">
        <w:rPr>
          <w:rFonts w:cs="Calibri"/>
        </w:rPr>
        <w:t>x</w:t>
      </w:r>
      <w:r w:rsidRPr="00DC4BA6">
        <w:rPr>
          <w:rFonts w:cs="Calibri"/>
        </w:rPr>
        <w:t xml:space="preserve">, publicada no Diário Oficial de Saquarema de </w:t>
      </w:r>
      <w:r w:rsidR="00D31C6E">
        <w:rPr>
          <w:rFonts w:cs="Calibri"/>
        </w:rPr>
        <w:t>xx</w:t>
      </w:r>
      <w:r w:rsidRPr="00DC4BA6">
        <w:rPr>
          <w:rFonts w:cs="Calibri"/>
        </w:rPr>
        <w:t xml:space="preserve"> de </w:t>
      </w:r>
      <w:r w:rsidR="00D31C6E">
        <w:rPr>
          <w:rFonts w:cs="Calibri"/>
        </w:rPr>
        <w:t>xxx</w:t>
      </w:r>
      <w:r w:rsidRPr="00DC4BA6">
        <w:rPr>
          <w:rFonts w:cs="Calibri"/>
        </w:rPr>
        <w:t xml:space="preserve"> de 202</w:t>
      </w:r>
      <w:r w:rsidR="00D31C6E">
        <w:rPr>
          <w:rFonts w:cs="Calibri"/>
        </w:rPr>
        <w:t>x</w:t>
      </w:r>
      <w:r w:rsidRPr="00DC4BA6">
        <w:rPr>
          <w:rFonts w:cs="Calibri"/>
        </w:rPr>
        <w:t xml:space="preserve">, portador da matrícula funcional nº </w:t>
      </w:r>
      <w:r w:rsidR="0026290D">
        <w:rPr>
          <w:rFonts w:cs="Calibri"/>
        </w:rPr>
        <w:t>xxxxx</w:t>
      </w:r>
      <w:r w:rsidRPr="00DC4BA6">
        <w:rPr>
          <w:rFonts w:cs="Calibri"/>
        </w:rPr>
        <w:t xml:space="preserve"> </w:t>
      </w:r>
      <w:r>
        <w:rPr>
          <w:rFonts w:eastAsia="Arial" w:cs="Calibri"/>
        </w:rPr>
        <w:t>e da</w:t>
      </w:r>
      <w:r w:rsidRPr="00B3681E">
        <w:rPr>
          <w:rFonts w:cs="Calibri"/>
        </w:rPr>
        <w:t xml:space="preserve"> Carteira de identidade n° </w:t>
      </w:r>
      <w:bookmarkStart w:id="1" w:name="_Hlk196729235"/>
      <w:r w:rsidRPr="00B3681E">
        <w:rPr>
          <w:rFonts w:cs="Calibri"/>
        </w:rPr>
        <w:t xml:space="preserve">___________,  </w:t>
      </w:r>
      <w:bookmarkEnd w:id="1"/>
      <w:r w:rsidRPr="00B3681E">
        <w:rPr>
          <w:rFonts w:cs="Calibri"/>
        </w:rPr>
        <w:t xml:space="preserve">expedida pelo __________________, inscrito no CPF/MF sob   o n° </w:t>
      </w:r>
      <w:r>
        <w:rPr>
          <w:rFonts w:cs="Calibri"/>
        </w:rPr>
        <w:t>____________________</w:t>
      </w:r>
      <w:r w:rsidRPr="00B3681E">
        <w:rPr>
          <w:rFonts w:cs="Calibri"/>
        </w:rPr>
        <w:t>.</w:t>
      </w:r>
    </w:p>
    <w:p w14:paraId="418AEA1E" w14:textId="77777777" w:rsidR="00FC7494" w:rsidRPr="00B3681E" w:rsidRDefault="00FC7494" w:rsidP="00CA4643">
      <w:pPr>
        <w:spacing w:before="100" w:beforeAutospacing="1" w:after="100" w:afterAutospacing="1" w:line="360" w:lineRule="auto"/>
        <w:contextualSpacing/>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094454F9" w14:textId="77777777" w:rsidR="00FC7494" w:rsidRPr="00B3681E" w:rsidRDefault="00FC7494" w:rsidP="00CA4643">
      <w:pPr>
        <w:spacing w:before="100" w:beforeAutospacing="1" w:after="100" w:afterAutospacing="1" w:line="360" w:lineRule="auto"/>
        <w:contextualSpacing/>
        <w:jc w:val="both"/>
        <w:rPr>
          <w:rFonts w:cs="Calibri"/>
          <w:b/>
        </w:rPr>
      </w:pPr>
    </w:p>
    <w:p w14:paraId="1D7C804B" w14:textId="2FD155B5" w:rsidR="00FC7494" w:rsidRPr="00B3681E" w:rsidRDefault="00FC7494" w:rsidP="00CA4643">
      <w:pPr>
        <w:spacing w:before="120" w:after="120" w:line="360" w:lineRule="auto"/>
        <w:ind w:firstLine="1418"/>
        <w:jc w:val="both"/>
        <w:rPr>
          <w:rFonts w:eastAsia="Arial" w:cs="Calibri"/>
        </w:rPr>
      </w:pPr>
      <w:r w:rsidRPr="00B3681E">
        <w:rPr>
          <w:rFonts w:cs="Calibri"/>
        </w:rPr>
        <w:t xml:space="preserve">Pelo presente instrumento, devidamente autorizado pelo Processo Administrativo </w:t>
      </w:r>
      <w:r w:rsidR="00BA68FC">
        <w:rPr>
          <w:rFonts w:cs="Calibri"/>
        </w:rPr>
        <w:t>033</w:t>
      </w:r>
      <w:r>
        <w:rPr>
          <w:rFonts w:cs="Calibri"/>
        </w:rPr>
        <w:t>/202</w:t>
      </w:r>
      <w:r w:rsidR="00BA68FC">
        <w:rPr>
          <w:rFonts w:cs="Calibri"/>
        </w:rPr>
        <w:t>6</w:t>
      </w:r>
      <w:r w:rsidRPr="00B3681E">
        <w:rPr>
          <w:rFonts w:cs="Calibri"/>
        </w:rPr>
        <w:t xml:space="preserve">  </w:t>
      </w:r>
      <w:bookmarkStart w:id="2" w:name="_Hlk145418481"/>
      <w:r w:rsidRPr="00B3681E">
        <w:rPr>
          <w:rFonts w:eastAsia="Arial" w:cs="Calibri"/>
        </w:rPr>
        <w:t xml:space="preserve">e em observância às disposições da </w:t>
      </w:r>
      <w:hyperlink r:id="rId8" w:history="1">
        <w:r w:rsidRPr="00B3681E">
          <w:rPr>
            <w:rStyle w:val="Hyperlink"/>
            <w:rFonts w:eastAsia="Arial" w:cs="Calibri"/>
          </w:rPr>
          <w:t>Lei nº 14.133, de 1º de abril de 2021</w:t>
        </w:r>
      </w:hyperlink>
      <w:r w:rsidRPr="00B3681E">
        <w:rPr>
          <w:rFonts w:eastAsia="Arial" w:cs="Calibri"/>
        </w:rPr>
        <w:t xml:space="preserve">, e demais legislação aplicável, resolvem celebrar o presente Termo de Contrato, decorrente </w:t>
      </w:r>
      <w:r w:rsidRPr="00843559">
        <w:rPr>
          <w:rFonts w:eastAsia="Arial" w:cs="Calibri"/>
          <w:i/>
          <w:iCs/>
          <w:color w:val="auto"/>
        </w:rPr>
        <w:t xml:space="preserve">do Pregão Eletrônico n. </w:t>
      </w:r>
      <w:r w:rsidR="009C208E">
        <w:rPr>
          <w:rFonts w:eastAsia="Arial" w:cs="Calibri"/>
          <w:i/>
          <w:iCs/>
          <w:color w:val="auto"/>
        </w:rPr>
        <w:t>035</w:t>
      </w:r>
      <w:r w:rsidRPr="00843559">
        <w:rPr>
          <w:rFonts w:eastAsia="Arial" w:cs="Calibri"/>
          <w:i/>
          <w:iCs/>
          <w:color w:val="auto"/>
        </w:rPr>
        <w:t>/</w:t>
      </w:r>
      <w:r w:rsidR="006A43D2">
        <w:rPr>
          <w:rFonts w:eastAsia="Arial" w:cs="Calibri"/>
          <w:i/>
          <w:iCs/>
          <w:color w:val="auto"/>
        </w:rPr>
        <w:t>2026</w:t>
      </w:r>
      <w:r w:rsidRPr="00843559">
        <w:rPr>
          <w:rFonts w:eastAsia="Arial" w:cs="Calibri"/>
          <w:color w:val="auto"/>
        </w:rPr>
        <w:t>,</w:t>
      </w:r>
      <w:r w:rsidRPr="00B3681E">
        <w:rPr>
          <w:rFonts w:eastAsia="Arial" w:cs="Calibri"/>
        </w:rPr>
        <w:t xml:space="preserve"> mediante as cláusulas e condições a seguir enunciadas.</w:t>
      </w:r>
    </w:p>
    <w:bookmarkEnd w:id="2"/>
    <w:p w14:paraId="4C527AB0" w14:textId="77777777" w:rsidR="00FC7494" w:rsidRPr="00B3681E" w:rsidRDefault="00FC7494" w:rsidP="00CA4643">
      <w:pPr>
        <w:pStyle w:val="Nivel01"/>
        <w:numPr>
          <w:ilvl w:val="0"/>
          <w:numId w:val="13"/>
        </w:numPr>
        <w:spacing w:line="360" w:lineRule="auto"/>
        <w:rPr>
          <w:rFonts w:ascii="Calibri" w:hAnsi="Calibri" w:cs="Calibri"/>
          <w:color w:val="FFFFFF"/>
          <w:sz w:val="22"/>
          <w:szCs w:val="22"/>
        </w:rPr>
      </w:pPr>
      <w:r w:rsidRPr="00B3681E">
        <w:rPr>
          <w:rFonts w:ascii="Calibri" w:hAnsi="Calibri" w:cs="Calibri"/>
          <w:sz w:val="22"/>
          <w:szCs w:val="22"/>
        </w:rPr>
        <w:t xml:space="preserve">CLÁUSULA PRIMEIRA – OBJETO </w:t>
      </w:r>
    </w:p>
    <w:p w14:paraId="133989AE" w14:textId="6B78CB04"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objeto do presente instrumento é</w:t>
      </w:r>
      <w:r w:rsidR="005422F9">
        <w:t xml:space="preserve"> </w:t>
      </w:r>
      <w:r w:rsidR="005422F9" w:rsidRPr="005422F9">
        <w:rPr>
          <w:rFonts w:ascii="Calibri" w:hAnsi="Calibri" w:cs="Calibri"/>
          <w:sz w:val="22"/>
          <w:szCs w:val="22"/>
        </w:rPr>
        <w:t>contratação de empresa especializada para aquisição de mobiliário corporativo e administrativo em mdf, aço e estruturas metálicas visando o atendimento das unidades da secretaria de educação, cultura, inclusão, ciência e tecnologia</w:t>
      </w:r>
      <w:r>
        <w:rPr>
          <w:rFonts w:ascii="Calibri" w:hAnsi="Calibri" w:cs="Calibri"/>
          <w:sz w:val="22"/>
          <w:szCs w:val="22"/>
        </w:rPr>
        <w:t>,</w:t>
      </w:r>
      <w:r w:rsidRPr="00B3681E">
        <w:rPr>
          <w:rFonts w:ascii="Calibri" w:hAnsi="Calibri" w:cs="Calibri"/>
          <w:sz w:val="22"/>
          <w:szCs w:val="22"/>
        </w:rPr>
        <w:t xml:space="preserve"> nas condições estabelecidas no Termo de Referência.</w:t>
      </w:r>
    </w:p>
    <w:p w14:paraId="2163A69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Objeto da contratação:</w:t>
      </w:r>
    </w:p>
    <w:tbl>
      <w:tblPr>
        <w:tblW w:w="7626" w:type="dxa"/>
        <w:tblInd w:w="-5" w:type="dxa"/>
        <w:tblLayout w:type="fixed"/>
        <w:tblLook w:val="04A0" w:firstRow="1" w:lastRow="0" w:firstColumn="1" w:lastColumn="0" w:noHBand="0" w:noVBand="1"/>
      </w:tblPr>
      <w:tblGrid>
        <w:gridCol w:w="707"/>
        <w:gridCol w:w="1816"/>
        <w:gridCol w:w="1276"/>
        <w:gridCol w:w="1559"/>
        <w:gridCol w:w="1276"/>
        <w:gridCol w:w="992"/>
      </w:tblGrid>
      <w:tr w:rsidR="00014233" w:rsidRPr="00B3681E" w14:paraId="5475C849" w14:textId="77777777" w:rsidTr="00014233">
        <w:tc>
          <w:tcPr>
            <w:tcW w:w="707" w:type="dxa"/>
            <w:tcBorders>
              <w:top w:val="single" w:sz="4" w:space="0" w:color="000000"/>
              <w:left w:val="single" w:sz="4" w:space="0" w:color="000000"/>
              <w:bottom w:val="single" w:sz="4" w:space="0" w:color="000000"/>
              <w:right w:val="single" w:sz="4" w:space="0" w:color="000000"/>
            </w:tcBorders>
          </w:tcPr>
          <w:p w14:paraId="06FAA22F" w14:textId="77777777" w:rsidR="00014233" w:rsidRPr="00B3681E" w:rsidRDefault="00014233"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lastRenderedPageBreak/>
              <w:t>ITEM</w:t>
            </w:r>
          </w:p>
          <w:p w14:paraId="582CA8CF" w14:textId="77777777" w:rsidR="00014233" w:rsidRPr="00B3681E" w:rsidRDefault="00014233" w:rsidP="00CA4643">
            <w:pPr>
              <w:widowControl w:val="0"/>
              <w:spacing w:before="120" w:afterLines="120" w:after="288" w:line="360" w:lineRule="auto"/>
              <w:jc w:val="center"/>
              <w:rPr>
                <w:rFonts w:eastAsia="Arial" w:cs="Calibri"/>
                <w:b/>
                <w:bCs/>
                <w:color w:val="000000"/>
              </w:rPr>
            </w:pPr>
          </w:p>
        </w:tc>
        <w:tc>
          <w:tcPr>
            <w:tcW w:w="1816" w:type="dxa"/>
            <w:tcBorders>
              <w:top w:val="single" w:sz="4" w:space="0" w:color="000000"/>
              <w:left w:val="single" w:sz="4" w:space="0" w:color="000000"/>
              <w:bottom w:val="single" w:sz="4" w:space="0" w:color="000000"/>
              <w:right w:val="single" w:sz="4" w:space="0" w:color="000000"/>
            </w:tcBorders>
          </w:tcPr>
          <w:p w14:paraId="4454EED5" w14:textId="77777777" w:rsidR="00014233" w:rsidRPr="00B3681E" w:rsidRDefault="00014233"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ESPECIFICAÇÃO</w:t>
            </w:r>
          </w:p>
        </w:tc>
        <w:tc>
          <w:tcPr>
            <w:tcW w:w="1276" w:type="dxa"/>
            <w:tcBorders>
              <w:top w:val="single" w:sz="4" w:space="0" w:color="000000"/>
              <w:left w:val="single" w:sz="4" w:space="0" w:color="000000"/>
              <w:bottom w:val="single" w:sz="4" w:space="0" w:color="000000"/>
              <w:right w:val="single" w:sz="4" w:space="0" w:color="000000"/>
            </w:tcBorders>
          </w:tcPr>
          <w:p w14:paraId="0A215A5C" w14:textId="77777777" w:rsidR="00014233" w:rsidRPr="00B3681E" w:rsidRDefault="00014233" w:rsidP="00CA4643">
            <w:pPr>
              <w:widowControl w:val="0"/>
              <w:spacing w:before="120" w:afterLines="120" w:after="288" w:line="360" w:lineRule="auto"/>
              <w:jc w:val="center"/>
              <w:rPr>
                <w:rFonts w:eastAsia="Arial" w:cs="Calibri"/>
                <w:color w:val="000000"/>
              </w:rPr>
            </w:pPr>
            <w:r w:rsidRPr="00B3681E">
              <w:rPr>
                <w:rFonts w:eastAsia="Arial" w:cs="Calibri"/>
                <w:b/>
                <w:bCs/>
                <w:color w:val="000000"/>
              </w:rPr>
              <w:t>UNIDADE DE MEDIDA</w:t>
            </w:r>
          </w:p>
        </w:tc>
        <w:tc>
          <w:tcPr>
            <w:tcW w:w="1559" w:type="dxa"/>
            <w:tcBorders>
              <w:top w:val="single" w:sz="4" w:space="0" w:color="000000"/>
              <w:left w:val="single" w:sz="4" w:space="0" w:color="000000"/>
              <w:bottom w:val="single" w:sz="4" w:space="0" w:color="000000"/>
              <w:right w:val="single" w:sz="4" w:space="0" w:color="000000"/>
            </w:tcBorders>
          </w:tcPr>
          <w:p w14:paraId="3C9423E2" w14:textId="77777777" w:rsidR="00014233" w:rsidRPr="00B3681E" w:rsidRDefault="00014233" w:rsidP="00CA4643">
            <w:pPr>
              <w:widowControl w:val="0"/>
              <w:spacing w:before="120" w:afterLines="120" w:after="288" w:line="360" w:lineRule="auto"/>
              <w:jc w:val="center"/>
              <w:rPr>
                <w:rFonts w:eastAsia="Arial" w:cs="Calibri"/>
                <w:b/>
                <w:bCs/>
              </w:rPr>
            </w:pPr>
            <w:r w:rsidRPr="00B3681E">
              <w:rPr>
                <w:rFonts w:eastAsia="Arial" w:cs="Calibri"/>
                <w:b/>
                <w:bCs/>
              </w:rPr>
              <w:t>QUANTIDADE</w:t>
            </w:r>
          </w:p>
        </w:tc>
        <w:tc>
          <w:tcPr>
            <w:tcW w:w="1276" w:type="dxa"/>
            <w:tcBorders>
              <w:top w:val="single" w:sz="4" w:space="0" w:color="000000"/>
              <w:left w:val="single" w:sz="4" w:space="0" w:color="000000"/>
              <w:bottom w:val="single" w:sz="4" w:space="0" w:color="000000"/>
              <w:right w:val="single" w:sz="4" w:space="0" w:color="000000"/>
            </w:tcBorders>
          </w:tcPr>
          <w:p w14:paraId="1A31723D" w14:textId="77777777" w:rsidR="00014233" w:rsidRPr="00B3681E" w:rsidRDefault="00014233" w:rsidP="00CA4643">
            <w:pPr>
              <w:widowControl w:val="0"/>
              <w:spacing w:before="120" w:afterLines="120" w:after="288" w:line="360" w:lineRule="auto"/>
              <w:jc w:val="center"/>
              <w:rPr>
                <w:rFonts w:eastAsia="Arial" w:cs="Calibri"/>
                <w:b/>
                <w:bCs/>
              </w:rPr>
            </w:pPr>
            <w:r w:rsidRPr="00B3681E">
              <w:rPr>
                <w:rFonts w:eastAsia="Arial" w:cs="Calibri"/>
                <w:b/>
                <w:bCs/>
              </w:rPr>
              <w:t>VALOR UNITÁRIO</w:t>
            </w:r>
          </w:p>
        </w:tc>
        <w:tc>
          <w:tcPr>
            <w:tcW w:w="992" w:type="dxa"/>
            <w:tcBorders>
              <w:top w:val="single" w:sz="4" w:space="0" w:color="000000"/>
              <w:left w:val="single" w:sz="4" w:space="0" w:color="000000"/>
              <w:bottom w:val="single" w:sz="4" w:space="0" w:color="000000"/>
              <w:right w:val="single" w:sz="4" w:space="0" w:color="000000"/>
            </w:tcBorders>
          </w:tcPr>
          <w:p w14:paraId="75F85F88" w14:textId="77777777" w:rsidR="00014233" w:rsidRPr="00B3681E" w:rsidRDefault="00014233" w:rsidP="00CA4643">
            <w:pPr>
              <w:widowControl w:val="0"/>
              <w:spacing w:before="120" w:afterLines="120" w:after="288" w:line="360" w:lineRule="auto"/>
              <w:jc w:val="center"/>
              <w:rPr>
                <w:rFonts w:eastAsia="Arial" w:cs="Calibri"/>
                <w:b/>
                <w:bCs/>
              </w:rPr>
            </w:pPr>
            <w:r w:rsidRPr="00B3681E">
              <w:rPr>
                <w:rFonts w:eastAsia="Arial" w:cs="Calibri"/>
                <w:b/>
                <w:bCs/>
              </w:rPr>
              <w:t>VALOR TOTAL</w:t>
            </w:r>
          </w:p>
        </w:tc>
      </w:tr>
      <w:tr w:rsidR="00014233" w:rsidRPr="00B3681E" w14:paraId="3BD45F3F" w14:textId="77777777" w:rsidTr="00014233">
        <w:tc>
          <w:tcPr>
            <w:tcW w:w="707" w:type="dxa"/>
            <w:tcBorders>
              <w:top w:val="single" w:sz="4" w:space="0" w:color="000000"/>
              <w:left w:val="single" w:sz="4" w:space="0" w:color="000000"/>
              <w:bottom w:val="single" w:sz="4" w:space="0" w:color="000000"/>
              <w:right w:val="single" w:sz="4" w:space="0" w:color="000000"/>
            </w:tcBorders>
          </w:tcPr>
          <w:p w14:paraId="4591774E" w14:textId="77777777" w:rsidR="00014233" w:rsidRPr="00B3681E" w:rsidRDefault="00014233"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1</w:t>
            </w:r>
          </w:p>
        </w:tc>
        <w:tc>
          <w:tcPr>
            <w:tcW w:w="1816" w:type="dxa"/>
            <w:tcBorders>
              <w:top w:val="single" w:sz="4" w:space="0" w:color="000000"/>
              <w:left w:val="single" w:sz="4" w:space="0" w:color="000000"/>
              <w:bottom w:val="single" w:sz="4" w:space="0" w:color="000000"/>
              <w:right w:val="single" w:sz="4" w:space="0" w:color="000000"/>
            </w:tcBorders>
          </w:tcPr>
          <w:p w14:paraId="789ABC8E"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3EDD04DB" w14:textId="77777777" w:rsidR="00014233" w:rsidRPr="00B3681E" w:rsidRDefault="00014233"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40101608"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442A0DE4" w14:textId="77777777" w:rsidR="00014233" w:rsidRPr="00B3681E" w:rsidRDefault="00014233"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1C63CDA1" w14:textId="77777777" w:rsidR="00014233" w:rsidRPr="00B3681E" w:rsidRDefault="00014233" w:rsidP="00CA4643">
            <w:pPr>
              <w:widowControl w:val="0"/>
              <w:spacing w:before="120" w:afterLines="120" w:after="288" w:line="360" w:lineRule="auto"/>
              <w:rPr>
                <w:rFonts w:eastAsia="Arial" w:cs="Calibri"/>
                <w:color w:val="000000"/>
              </w:rPr>
            </w:pPr>
          </w:p>
        </w:tc>
      </w:tr>
      <w:tr w:rsidR="00014233" w:rsidRPr="00B3681E" w14:paraId="6F766E37" w14:textId="77777777" w:rsidTr="00014233">
        <w:tc>
          <w:tcPr>
            <w:tcW w:w="707" w:type="dxa"/>
            <w:tcBorders>
              <w:top w:val="single" w:sz="4" w:space="0" w:color="000000"/>
              <w:left w:val="single" w:sz="4" w:space="0" w:color="000000"/>
              <w:bottom w:val="single" w:sz="4" w:space="0" w:color="000000"/>
              <w:right w:val="single" w:sz="4" w:space="0" w:color="000000"/>
            </w:tcBorders>
          </w:tcPr>
          <w:p w14:paraId="5D56D1D8" w14:textId="77777777" w:rsidR="00014233" w:rsidRPr="00B3681E" w:rsidRDefault="00014233"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2</w:t>
            </w:r>
          </w:p>
        </w:tc>
        <w:tc>
          <w:tcPr>
            <w:tcW w:w="1816" w:type="dxa"/>
            <w:tcBorders>
              <w:top w:val="single" w:sz="4" w:space="0" w:color="000000"/>
              <w:left w:val="single" w:sz="4" w:space="0" w:color="000000"/>
              <w:bottom w:val="single" w:sz="4" w:space="0" w:color="000000"/>
              <w:right w:val="single" w:sz="4" w:space="0" w:color="000000"/>
            </w:tcBorders>
          </w:tcPr>
          <w:p w14:paraId="66BD4321"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774BCB62" w14:textId="77777777" w:rsidR="00014233" w:rsidRPr="00B3681E" w:rsidRDefault="00014233"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31C65ED8"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22316235" w14:textId="77777777" w:rsidR="00014233" w:rsidRPr="00B3681E" w:rsidRDefault="00014233"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B9147A5" w14:textId="77777777" w:rsidR="00014233" w:rsidRPr="00B3681E" w:rsidRDefault="00014233" w:rsidP="00CA4643">
            <w:pPr>
              <w:widowControl w:val="0"/>
              <w:spacing w:before="120" w:afterLines="120" w:after="288" w:line="360" w:lineRule="auto"/>
              <w:rPr>
                <w:rFonts w:eastAsia="Arial" w:cs="Calibri"/>
                <w:color w:val="000000"/>
              </w:rPr>
            </w:pPr>
          </w:p>
        </w:tc>
      </w:tr>
      <w:tr w:rsidR="00014233" w:rsidRPr="00B3681E" w14:paraId="2DC0EA6E" w14:textId="77777777" w:rsidTr="00014233">
        <w:tc>
          <w:tcPr>
            <w:tcW w:w="707" w:type="dxa"/>
            <w:tcBorders>
              <w:top w:val="single" w:sz="4" w:space="0" w:color="000000"/>
              <w:left w:val="single" w:sz="4" w:space="0" w:color="000000"/>
              <w:bottom w:val="single" w:sz="4" w:space="0" w:color="000000"/>
              <w:right w:val="single" w:sz="4" w:space="0" w:color="000000"/>
            </w:tcBorders>
          </w:tcPr>
          <w:p w14:paraId="2D6F15B0" w14:textId="77777777" w:rsidR="00014233" w:rsidRPr="00B3681E" w:rsidRDefault="00014233"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3</w:t>
            </w:r>
          </w:p>
        </w:tc>
        <w:tc>
          <w:tcPr>
            <w:tcW w:w="1816" w:type="dxa"/>
            <w:tcBorders>
              <w:top w:val="single" w:sz="4" w:space="0" w:color="000000"/>
              <w:left w:val="single" w:sz="4" w:space="0" w:color="000000"/>
              <w:bottom w:val="single" w:sz="4" w:space="0" w:color="000000"/>
              <w:right w:val="single" w:sz="4" w:space="0" w:color="000000"/>
            </w:tcBorders>
          </w:tcPr>
          <w:p w14:paraId="199FD562"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128775FF" w14:textId="77777777" w:rsidR="00014233" w:rsidRPr="00B3681E" w:rsidRDefault="00014233"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71C66AE3"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63FF6998" w14:textId="77777777" w:rsidR="00014233" w:rsidRPr="00B3681E" w:rsidRDefault="00014233"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882D20C" w14:textId="77777777" w:rsidR="00014233" w:rsidRPr="00B3681E" w:rsidRDefault="00014233" w:rsidP="00CA4643">
            <w:pPr>
              <w:widowControl w:val="0"/>
              <w:spacing w:before="120" w:afterLines="120" w:after="288" w:line="360" w:lineRule="auto"/>
              <w:rPr>
                <w:rFonts w:eastAsia="Arial" w:cs="Calibri"/>
                <w:color w:val="000000"/>
              </w:rPr>
            </w:pPr>
          </w:p>
        </w:tc>
      </w:tr>
      <w:tr w:rsidR="00014233" w:rsidRPr="00B3681E" w14:paraId="59D6BE10" w14:textId="77777777" w:rsidTr="00014233">
        <w:tc>
          <w:tcPr>
            <w:tcW w:w="707" w:type="dxa"/>
            <w:tcBorders>
              <w:top w:val="single" w:sz="4" w:space="0" w:color="000000"/>
              <w:left w:val="single" w:sz="4" w:space="0" w:color="000000"/>
              <w:bottom w:val="single" w:sz="4" w:space="0" w:color="000000"/>
              <w:right w:val="single" w:sz="4" w:space="0" w:color="000000"/>
            </w:tcBorders>
          </w:tcPr>
          <w:p w14:paraId="5CEE5028" w14:textId="77777777" w:rsidR="00014233" w:rsidRPr="00B3681E" w:rsidRDefault="00014233" w:rsidP="00CA4643">
            <w:pPr>
              <w:widowControl w:val="0"/>
              <w:spacing w:before="120" w:afterLines="120" w:after="288" w:line="360" w:lineRule="auto"/>
              <w:jc w:val="center"/>
              <w:rPr>
                <w:rFonts w:eastAsia="Arial" w:cs="Calibri"/>
                <w:b/>
                <w:bCs/>
                <w:color w:val="000000"/>
              </w:rPr>
            </w:pPr>
            <w:r w:rsidRPr="00B3681E">
              <w:rPr>
                <w:rFonts w:eastAsia="Arial" w:cs="Calibri"/>
                <w:b/>
                <w:bCs/>
                <w:color w:val="000000"/>
              </w:rPr>
              <w:t>...</w:t>
            </w:r>
          </w:p>
        </w:tc>
        <w:tc>
          <w:tcPr>
            <w:tcW w:w="1816" w:type="dxa"/>
            <w:tcBorders>
              <w:top w:val="single" w:sz="4" w:space="0" w:color="000000"/>
              <w:left w:val="single" w:sz="4" w:space="0" w:color="000000"/>
              <w:bottom w:val="single" w:sz="4" w:space="0" w:color="000000"/>
              <w:right w:val="single" w:sz="4" w:space="0" w:color="000000"/>
            </w:tcBorders>
          </w:tcPr>
          <w:p w14:paraId="3D85F256" w14:textId="77777777" w:rsidR="00014233" w:rsidRPr="00B3681E" w:rsidRDefault="00014233" w:rsidP="00CA4643">
            <w:pPr>
              <w:widowControl w:val="0"/>
              <w:spacing w:before="120" w:afterLines="120" w:after="288" w:line="360" w:lineRule="auto"/>
              <w:jc w:val="center"/>
              <w:rPr>
                <w:rFonts w:eastAsia="Arial" w:cs="Calibri"/>
              </w:rPr>
            </w:pPr>
          </w:p>
        </w:tc>
        <w:tc>
          <w:tcPr>
            <w:tcW w:w="1276" w:type="dxa"/>
            <w:tcBorders>
              <w:top w:val="single" w:sz="4" w:space="0" w:color="000000"/>
              <w:left w:val="single" w:sz="4" w:space="0" w:color="000000"/>
              <w:bottom w:val="single" w:sz="4" w:space="0" w:color="000000"/>
              <w:right w:val="single" w:sz="4" w:space="0" w:color="000000"/>
            </w:tcBorders>
          </w:tcPr>
          <w:p w14:paraId="04FC25ED" w14:textId="77777777" w:rsidR="00014233" w:rsidRPr="00B3681E" w:rsidRDefault="00014233" w:rsidP="00CA4643">
            <w:pPr>
              <w:widowControl w:val="0"/>
              <w:spacing w:before="120" w:afterLines="120" w:after="288" w:line="360" w:lineRule="auto"/>
              <w:rPr>
                <w:rFonts w:eastAsia="Arial" w:cs="Calibri"/>
                <w:color w:val="000000"/>
              </w:rPr>
            </w:pPr>
          </w:p>
        </w:tc>
        <w:tc>
          <w:tcPr>
            <w:tcW w:w="1559" w:type="dxa"/>
            <w:tcBorders>
              <w:top w:val="single" w:sz="4" w:space="0" w:color="000000"/>
              <w:left w:val="single" w:sz="4" w:space="0" w:color="000000"/>
              <w:bottom w:val="single" w:sz="4" w:space="0" w:color="000000"/>
              <w:right w:val="single" w:sz="4" w:space="0" w:color="000000"/>
            </w:tcBorders>
          </w:tcPr>
          <w:p w14:paraId="5847A86C" w14:textId="77777777" w:rsidR="00014233" w:rsidRPr="00B3681E" w:rsidRDefault="00014233" w:rsidP="00CA4643">
            <w:pPr>
              <w:widowControl w:val="0"/>
              <w:spacing w:before="120" w:afterLines="120" w:after="288" w:line="360" w:lineRule="auto"/>
              <w:rPr>
                <w:rFonts w:eastAsia="Arial" w:cs="Calibri"/>
                <w:color w:val="000000"/>
              </w:rPr>
            </w:pPr>
          </w:p>
        </w:tc>
        <w:tc>
          <w:tcPr>
            <w:tcW w:w="1276" w:type="dxa"/>
            <w:tcBorders>
              <w:top w:val="single" w:sz="4" w:space="0" w:color="000000"/>
              <w:left w:val="single" w:sz="4" w:space="0" w:color="000000"/>
              <w:bottom w:val="single" w:sz="4" w:space="0" w:color="000000"/>
              <w:right w:val="single" w:sz="4" w:space="0" w:color="000000"/>
            </w:tcBorders>
          </w:tcPr>
          <w:p w14:paraId="50152155" w14:textId="77777777" w:rsidR="00014233" w:rsidRPr="00B3681E" w:rsidRDefault="00014233" w:rsidP="00CA4643">
            <w:pPr>
              <w:widowControl w:val="0"/>
              <w:spacing w:before="120" w:afterLines="120" w:after="288" w:line="360" w:lineRule="auto"/>
              <w:rPr>
                <w:rFonts w:eastAsia="Arial" w:cs="Calibri"/>
                <w:color w:val="000000"/>
              </w:rPr>
            </w:pPr>
          </w:p>
        </w:tc>
        <w:tc>
          <w:tcPr>
            <w:tcW w:w="992" w:type="dxa"/>
            <w:tcBorders>
              <w:top w:val="single" w:sz="4" w:space="0" w:color="000000"/>
              <w:left w:val="single" w:sz="4" w:space="0" w:color="000000"/>
              <w:bottom w:val="single" w:sz="4" w:space="0" w:color="000000"/>
              <w:right w:val="single" w:sz="4" w:space="0" w:color="000000"/>
            </w:tcBorders>
          </w:tcPr>
          <w:p w14:paraId="55AC9B82" w14:textId="77777777" w:rsidR="00014233" w:rsidRPr="00B3681E" w:rsidRDefault="00014233" w:rsidP="00CA4643">
            <w:pPr>
              <w:widowControl w:val="0"/>
              <w:spacing w:before="120" w:afterLines="120" w:after="288" w:line="360" w:lineRule="auto"/>
              <w:rPr>
                <w:rFonts w:eastAsia="Arial" w:cs="Calibri"/>
                <w:color w:val="000000"/>
              </w:rPr>
            </w:pPr>
          </w:p>
        </w:tc>
      </w:tr>
    </w:tbl>
    <w:p w14:paraId="1E4664F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Vinculam esta contratação, independentemente de transcrição:</w:t>
      </w:r>
    </w:p>
    <w:p w14:paraId="0D9C7349"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Termo de Referência;</w:t>
      </w:r>
    </w:p>
    <w:p w14:paraId="45FF6E4B"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O Edital da Licitação;</w:t>
      </w:r>
    </w:p>
    <w:p w14:paraId="7337049E"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 Proposta do contratado;</w:t>
      </w:r>
    </w:p>
    <w:p w14:paraId="20B90548"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Eventuais anexos dos documentos supracitados.</w:t>
      </w:r>
    </w:p>
    <w:p w14:paraId="750C5393"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SEGUNDA – VIGÊNCIA E PRORROGAÇÃO</w:t>
      </w:r>
    </w:p>
    <w:p w14:paraId="74EF25FC"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 xml:space="preserve">O prazo de vigência da contratação é de .............................. contados do(a) ............................., prorrogável por até 10 anos, na forma dos </w:t>
      </w:r>
      <w:hyperlink r:id="rId9" w:anchor="art106" w:history="1">
        <w:r w:rsidRPr="00F84789">
          <w:rPr>
            <w:rStyle w:val="Hyperlink"/>
            <w:rFonts w:ascii="Calibri" w:hAnsi="Calibri" w:cs="Calibri"/>
            <w:color w:val="auto"/>
            <w:sz w:val="22"/>
            <w:szCs w:val="22"/>
          </w:rPr>
          <w:t>artigos 106 e 107 da Lei n° 14.133, de 2021</w:t>
        </w:r>
      </w:hyperlink>
      <w:r w:rsidRPr="00F84789">
        <w:rPr>
          <w:rFonts w:ascii="Calibri" w:hAnsi="Calibri" w:cs="Calibri"/>
          <w:color w:val="auto"/>
          <w:sz w:val="22"/>
          <w:szCs w:val="22"/>
        </w:rPr>
        <w:t>.</w:t>
      </w:r>
    </w:p>
    <w:p w14:paraId="159130DB" w14:textId="77777777" w:rsidR="00FC7494" w:rsidRPr="00F84789" w:rsidRDefault="00FC7494" w:rsidP="00CA4643">
      <w:pPr>
        <w:pStyle w:val="Nvel3-R"/>
        <w:spacing w:line="360" w:lineRule="auto"/>
        <w:rPr>
          <w:rFonts w:ascii="Calibri" w:hAnsi="Calibri" w:cs="Calibri"/>
          <w:color w:val="auto"/>
          <w:sz w:val="22"/>
          <w:szCs w:val="22"/>
        </w:rPr>
      </w:pPr>
      <w:r w:rsidRPr="00F84789">
        <w:rPr>
          <w:rFonts w:ascii="Calibri" w:hAnsi="Calibri" w:cs="Calibri"/>
          <w:color w:val="auto"/>
          <w:sz w:val="22"/>
          <w:szCs w:val="22"/>
        </w:rPr>
        <w:t>A prorrogação de que trata este item é condicionada ao ateste, pela autoridade competente, de que as condições e os preços permanecem vantajosos para a Administração, permitida a negociação com o contratado.</w:t>
      </w:r>
    </w:p>
    <w:p w14:paraId="7E0C023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contratado não tem direito subjetivo à prorrogação contratual.</w:t>
      </w:r>
    </w:p>
    <w:p w14:paraId="2DBE152E"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lastRenderedPageBreak/>
        <w:t>A prorrogação de contrato deverá ser promovida mediante celebração de termo aditivo.</w:t>
      </w:r>
    </w:p>
    <w:p w14:paraId="703F62D8" w14:textId="77777777" w:rsidR="00FC7494" w:rsidRPr="00F84789" w:rsidRDefault="00FC7494" w:rsidP="00CA4643">
      <w:pPr>
        <w:pStyle w:val="Nvel2-Red"/>
        <w:spacing w:line="360" w:lineRule="auto"/>
        <w:rPr>
          <w:rFonts w:ascii="Calibri" w:hAnsi="Calibri" w:cs="Calibri"/>
          <w:color w:val="auto"/>
          <w:sz w:val="22"/>
          <w:szCs w:val="22"/>
        </w:rPr>
      </w:pPr>
      <w:r w:rsidRPr="00F84789">
        <w:rPr>
          <w:rFonts w:ascii="Calibri" w:hAnsi="Calibri" w:cs="Calibri"/>
          <w:color w:val="auto"/>
          <w:sz w:val="22"/>
          <w:szCs w:val="22"/>
        </w:rPr>
        <w:t>O contrato não poderá ser prorrogado quando o contratado tiver sido penalizado nas sanções de declaração de inidoneidade ou impedimento de licitar e contratar com poder público, observadas as abrangências de aplicação.</w:t>
      </w:r>
    </w:p>
    <w:p w14:paraId="4ABFF03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TERCEIRA – MODELOS DE EXECUÇÃO E GESTÃO CONTRATUAIS </w:t>
      </w:r>
    </w:p>
    <w:p w14:paraId="406EDEE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regime de execução contratual, os modelos de gestão e de execução, assim como os prazos e condições de conclusão, entrega, observação e recebimento do objeto constam no Termo de Referência, anexo a este Contrato.</w:t>
      </w:r>
    </w:p>
    <w:p w14:paraId="786ACA0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QUARTA – SUBCONTRATAÇÃO</w:t>
      </w:r>
    </w:p>
    <w:p w14:paraId="33D4E3D4"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Não será admitida a subcontratação do objeto contratual.</w:t>
      </w:r>
    </w:p>
    <w:p w14:paraId="093516E8"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QUINTA – PREÇO </w:t>
      </w:r>
    </w:p>
    <w:p w14:paraId="54BC826B"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O valor total da contratação é de R$.......... (.....)</w:t>
      </w:r>
    </w:p>
    <w:p w14:paraId="5EE42F4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72F723B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SEXTA - PAGAMENTO </w:t>
      </w:r>
    </w:p>
    <w:p w14:paraId="0E220AA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 prazo para pagamento </w:t>
      </w:r>
      <w:r w:rsidRPr="00B3681E">
        <w:rPr>
          <w:rFonts w:ascii="Calibri" w:hAnsi="Calibri" w:cs="Calibri"/>
          <w:color w:val="auto"/>
          <w:sz w:val="22"/>
          <w:szCs w:val="22"/>
          <w:lang w:eastAsia="en-US"/>
        </w:rPr>
        <w:t>ao contratado</w:t>
      </w:r>
      <w:r w:rsidRPr="00B3681E">
        <w:rPr>
          <w:rFonts w:ascii="Calibri" w:hAnsi="Calibri" w:cs="Calibri"/>
          <w:sz w:val="22"/>
          <w:szCs w:val="22"/>
        </w:rPr>
        <w:t xml:space="preserve"> e demais condições a ele referentes encontram-se definidos no Termo de Referência, anexo a este Contrato.</w:t>
      </w:r>
    </w:p>
    <w:p w14:paraId="4AFFAD8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SÉTIMA - REAJUSTE </w:t>
      </w:r>
    </w:p>
    <w:p w14:paraId="4DB07CAA"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Os preços inicialmente contratados são fixos e irreajustáveis no prazo de um ano contado da data do orçamento estimado, </w:t>
      </w:r>
      <w:r w:rsidRPr="000059CB">
        <w:rPr>
          <w:rFonts w:ascii="Calibri" w:hAnsi="Calibri" w:cs="Calibri"/>
          <w:color w:val="auto"/>
          <w:sz w:val="22"/>
          <w:szCs w:val="22"/>
        </w:rPr>
        <w:t xml:space="preserve">em </w:t>
      </w:r>
      <w:r w:rsidRPr="000059CB">
        <w:rPr>
          <w:rFonts w:ascii="Calibri" w:hAnsi="Calibri" w:cs="Calibri"/>
          <w:i/>
          <w:iCs/>
          <w:color w:val="auto"/>
          <w:sz w:val="22"/>
          <w:szCs w:val="22"/>
        </w:rPr>
        <w:t>__/__/__ (DD/MM/AAAA)</w:t>
      </w:r>
      <w:r w:rsidRPr="000059CB">
        <w:rPr>
          <w:rFonts w:ascii="Calibri" w:hAnsi="Calibri" w:cs="Calibri"/>
          <w:color w:val="auto"/>
          <w:sz w:val="22"/>
          <w:szCs w:val="22"/>
        </w:rPr>
        <w:t>.</w:t>
      </w:r>
    </w:p>
    <w:p w14:paraId="06AB6C3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Após o interregno de um ano, e independentemente de pedido do contratado, os preços iniciais serão reajustados, mediante a aplicação, pelo contratante, do índice </w:t>
      </w:r>
      <w:r w:rsidRPr="000059CB">
        <w:rPr>
          <w:rFonts w:ascii="Calibri" w:hAnsi="Calibri" w:cs="Calibri"/>
          <w:color w:val="auto"/>
          <w:sz w:val="22"/>
          <w:szCs w:val="22"/>
        </w:rPr>
        <w:t>IPCA,</w:t>
      </w:r>
      <w:r>
        <w:rPr>
          <w:rFonts w:ascii="Calibri" w:hAnsi="Calibri" w:cs="Calibri"/>
          <w:color w:val="auto"/>
          <w:sz w:val="22"/>
          <w:szCs w:val="22"/>
        </w:rPr>
        <w:t xml:space="preserve"> </w:t>
      </w:r>
      <w:r w:rsidRPr="00B3681E">
        <w:rPr>
          <w:rFonts w:ascii="Calibri" w:hAnsi="Calibri" w:cs="Calibri"/>
          <w:sz w:val="22"/>
          <w:szCs w:val="22"/>
        </w:rPr>
        <w:t>exclusivamente para as obrigações iniciadas e concluídas após a ocorrência da anualidade.</w:t>
      </w:r>
    </w:p>
    <w:p w14:paraId="79622C8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Nos reajustes subsequentes ao primeiro, o interregno mínimo de um ano será contado a partir dos efeitos financeiros do último reajuste.</w:t>
      </w:r>
    </w:p>
    <w:p w14:paraId="46530EA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14:paraId="7B6543B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Nas aferições finais, o(s) índice(s) utilizado(s) para reajuste será(ão), obrigatoriamente, o(s) definitivo(s).</w:t>
      </w:r>
    </w:p>
    <w:p w14:paraId="76E41F7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Caso o(s) índice(s) estabelecido(s) para reajustamento venha(m) a ser extinto(s) ou de qualquer forma não possa(m) mais ser utilizado(s), será(ão) adotado(s), em substituição, o(s) que vier(em) a ser determinado(s) pela legislação então em vigor.</w:t>
      </w:r>
    </w:p>
    <w:p w14:paraId="289823D3"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Na ausência de previsão legal quanto ao índice substituto, as partes elegerão novo índice oficial, para reajustamento do preço do valor remanescente, por meio de termo aditivo. </w:t>
      </w:r>
    </w:p>
    <w:p w14:paraId="6FA3186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reajuste será realizado por apostilamento.</w:t>
      </w:r>
    </w:p>
    <w:p w14:paraId="5EEC6E47"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OITAVA - OBRIGAÇÕES DO CONTRATANTE </w:t>
      </w:r>
    </w:p>
    <w:p w14:paraId="2F4F76A1"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São obrigações do Contratante:</w:t>
      </w:r>
    </w:p>
    <w:p w14:paraId="1686DA5A"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Exigir o cumprimento de todas as obrigações assumidas pelo Contratado, de acordo com o contrato e seus anexos;</w:t>
      </w:r>
    </w:p>
    <w:p w14:paraId="4E737CB2"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Receber o objeto no prazo e condições estabelecidas no Termo de Referência;</w:t>
      </w:r>
    </w:p>
    <w:p w14:paraId="3F8395E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Notificar o Contratado, por escrito, sobre vícios, defeitos ou incorreções verificadas no objeto fornecido, para que seja por ele substituído, reparado ou corrigido, no total ou em parte, às suas expensas;</w:t>
      </w:r>
    </w:p>
    <w:p w14:paraId="36198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Acompanhar e fiscalizar a execução do contrato e o cumprimento das obrigações pelo Contratado;</w:t>
      </w:r>
    </w:p>
    <w:p w14:paraId="0CEB6E3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Efetuar o pagamento ao Contratado do valor correspondente ao fornecimento do objeto, no prazo, forma e condições estabelecidos no presente Contrato </w:t>
      </w:r>
      <w:r w:rsidRPr="000059CB">
        <w:rPr>
          <w:rFonts w:ascii="Calibri" w:hAnsi="Calibri" w:cs="Calibri"/>
          <w:color w:val="auto"/>
          <w:sz w:val="22"/>
          <w:szCs w:val="22"/>
        </w:rPr>
        <w:t>e no Termo de Referência.</w:t>
      </w:r>
    </w:p>
    <w:p w14:paraId="3EF0F93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Aplicar ao Contratado as sanções previstas na lei e neste Contrato; </w:t>
      </w:r>
    </w:p>
    <w:p w14:paraId="3D96AC9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Cientificar o órgão de representação judicial da Advocacia-Geral da União para adoção das medidas cabíveis quando do descumprimento de obrigações pelo Contratado;</w:t>
      </w:r>
    </w:p>
    <w:p w14:paraId="5869153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525FEDCB"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 xml:space="preserve"> A Administração terá o prazo de</w:t>
      </w:r>
      <w:r w:rsidRPr="00B3681E">
        <w:rPr>
          <w:rFonts w:ascii="Calibri" w:hAnsi="Calibri" w:cs="Calibri"/>
          <w:i/>
          <w:iCs/>
          <w:color w:val="FF0000"/>
          <w:sz w:val="22"/>
          <w:szCs w:val="22"/>
        </w:rPr>
        <w:t xml:space="preserve"> </w:t>
      </w:r>
      <w:r w:rsidRPr="000059CB">
        <w:rPr>
          <w:rFonts w:ascii="Calibri" w:hAnsi="Calibri" w:cs="Calibri"/>
          <w:i/>
          <w:iCs/>
          <w:color w:val="auto"/>
          <w:sz w:val="22"/>
          <w:szCs w:val="22"/>
        </w:rPr>
        <w:t>XXXXXXX</w:t>
      </w:r>
      <w:r w:rsidRPr="000059CB">
        <w:rPr>
          <w:rFonts w:ascii="Calibri" w:hAnsi="Calibri" w:cs="Calibri"/>
          <w:color w:val="auto"/>
          <w:sz w:val="22"/>
          <w:szCs w:val="22"/>
        </w:rPr>
        <w:t>,</w:t>
      </w:r>
      <w:r w:rsidRPr="00B3681E">
        <w:rPr>
          <w:rFonts w:ascii="Calibri" w:hAnsi="Calibri" w:cs="Calibri"/>
          <w:sz w:val="22"/>
          <w:szCs w:val="22"/>
        </w:rPr>
        <w:t xml:space="preserve"> a contar da data do protocolo do requerimento para decidir, admitida a prorrogação motivada, por igual período. </w:t>
      </w:r>
    </w:p>
    <w:p w14:paraId="45326687" w14:textId="77777777" w:rsidR="00FC7494" w:rsidRPr="000059CB" w:rsidRDefault="00FC7494" w:rsidP="00CA4643">
      <w:pPr>
        <w:pStyle w:val="Nivel2"/>
        <w:spacing w:line="360" w:lineRule="auto"/>
        <w:rPr>
          <w:rFonts w:ascii="Calibri" w:hAnsi="Calibri" w:cs="Calibri"/>
          <w:color w:val="auto"/>
          <w:sz w:val="22"/>
          <w:szCs w:val="22"/>
        </w:rPr>
      </w:pPr>
      <w:r w:rsidRPr="00B3681E">
        <w:rPr>
          <w:rFonts w:ascii="Calibri" w:hAnsi="Calibri" w:cs="Calibri"/>
          <w:sz w:val="22"/>
          <w:szCs w:val="22"/>
        </w:rPr>
        <w:t xml:space="preserve">Responder eventuais pedidos de reestabelecimento do equilíbrio econômico-financeiro feitos pelo contratado no prazo máximo </w:t>
      </w:r>
      <w:r w:rsidRPr="000059CB">
        <w:rPr>
          <w:rFonts w:ascii="Calibri" w:hAnsi="Calibri" w:cs="Calibri"/>
          <w:color w:val="auto"/>
          <w:sz w:val="22"/>
          <w:szCs w:val="22"/>
        </w:rPr>
        <w:t>de XXXXXX.</w:t>
      </w:r>
    </w:p>
    <w:p w14:paraId="39942475" w14:textId="77777777" w:rsidR="00FC7494" w:rsidRPr="000059CB" w:rsidRDefault="00FC7494" w:rsidP="00CA4643">
      <w:pPr>
        <w:pStyle w:val="Nvel2-Red"/>
        <w:spacing w:line="360" w:lineRule="auto"/>
        <w:rPr>
          <w:rFonts w:ascii="Calibri" w:hAnsi="Calibri" w:cs="Calibri"/>
          <w:color w:val="auto"/>
          <w:sz w:val="22"/>
          <w:szCs w:val="22"/>
        </w:rPr>
      </w:pPr>
      <w:r w:rsidRPr="000059CB">
        <w:rPr>
          <w:rFonts w:ascii="Calibri" w:hAnsi="Calibri" w:cs="Calibri"/>
          <w:color w:val="auto"/>
          <w:sz w:val="22"/>
          <w:szCs w:val="22"/>
        </w:rPr>
        <w:t>Notificar os emitentes das garantias quanto ao início de processo administrativo para apuração de descumprimento de cláusulas contratuais.</w:t>
      </w:r>
    </w:p>
    <w:p w14:paraId="0347671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65497A05"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CLÁUSULA NONA - OBRIGAÇÕES DO CONTRATADO</w:t>
      </w:r>
    </w:p>
    <w:p w14:paraId="4EDB0E4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O Contratado deve cumprir todas as obrigações constantes deste Contrato e em seus anexos, assumindo como exclusivamente seus os riscos e as despesas decorrentes da boa e perfeita execução do objeto, observando, ainda, as obrigações a seguir dispostas:</w:t>
      </w:r>
    </w:p>
    <w:p w14:paraId="44BF78F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Responsabilizar-se pelos vícios e danos decorrentes do objeto, de acordo com o Código de Defesa do Consumidor (</w:t>
      </w:r>
      <w:hyperlink r:id="rId10" w:history="1">
        <w:r w:rsidRPr="00B3681E">
          <w:rPr>
            <w:rStyle w:val="Hyperlink"/>
            <w:rFonts w:ascii="Calibri" w:hAnsi="Calibri" w:cs="Calibri"/>
            <w:sz w:val="22"/>
            <w:szCs w:val="22"/>
          </w:rPr>
          <w:t>Lei nº 8.078, de 1990</w:t>
        </w:r>
      </w:hyperlink>
      <w:r w:rsidRPr="00B3681E">
        <w:rPr>
          <w:rFonts w:ascii="Calibri" w:hAnsi="Calibri" w:cs="Calibri"/>
          <w:sz w:val="22"/>
          <w:szCs w:val="22"/>
        </w:rPr>
        <w:t>);</w:t>
      </w:r>
    </w:p>
    <w:p w14:paraId="00902D9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Comunicar ao contratante, no prazo máximo de 24 (vinte e quatro) horas que antecede a data da entrega, os motivos que impossibilitem o cumprimento do prazo previsto, com a devida comprovação;</w:t>
      </w:r>
    </w:p>
    <w:p w14:paraId="3630CFF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Atender às determinações regulares emitidas pelo fiscal ou gestor do contrato ou autoridade superior (</w:t>
      </w:r>
      <w:hyperlink r:id="rId11" w:anchor="art137" w:history="1">
        <w:r w:rsidRPr="00B3681E">
          <w:rPr>
            <w:rStyle w:val="Hyperlink"/>
            <w:rFonts w:ascii="Calibri" w:hAnsi="Calibri" w:cs="Calibri"/>
            <w:sz w:val="22"/>
            <w:szCs w:val="22"/>
          </w:rPr>
          <w:t>art. 137, II, da Lei n.º 14.133, de 2021</w:t>
        </w:r>
      </w:hyperlink>
      <w:r w:rsidRPr="00B3681E">
        <w:rPr>
          <w:rFonts w:ascii="Calibri" w:hAnsi="Calibri" w:cs="Calibri"/>
          <w:sz w:val="22"/>
          <w:szCs w:val="22"/>
        </w:rPr>
        <w:t>) e prestar todo esclarecimento ou informação por eles solicitados;</w:t>
      </w:r>
    </w:p>
    <w:p w14:paraId="09A8259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Reparar, corrigir, remover, reconstruir ou substituir, às suas expensas, no total ou em parte, no prazo fixado pelo fiscal do contrato, os bens nos quais se verificarem vícios, defeitos ou incorreções resultantes da execução ou dos materiais empregados;</w:t>
      </w:r>
    </w:p>
    <w:p w14:paraId="12B6900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00C15B81"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14E0255B"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605BE1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Comunicar ao Fiscal do contrato, no prazo de 24 (vinte e quatro) horas, qualquer ocorrência anormal ou acidente que se verifique no local da execução do objeto contratual.</w:t>
      </w:r>
    </w:p>
    <w:p w14:paraId="555A803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Paralisar, por determinação do contratante, qualquer atividade que não esteja sendo executada de acordo com a boa técnica ou que ponha em risco a segurança de pessoas ou bens de terceiros.</w:t>
      </w:r>
    </w:p>
    <w:p w14:paraId="0BF67A68"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Manter durante toda a vigência do contrato, em compatibilidade com as obrigações assumidas, todas as condições exigidas para habilitação na licitação; </w:t>
      </w:r>
    </w:p>
    <w:p w14:paraId="09C29DE2" w14:textId="77777777" w:rsidR="00FC7494" w:rsidRPr="00B3681E" w:rsidRDefault="00FC7494" w:rsidP="00CA4643">
      <w:pPr>
        <w:pStyle w:val="Nivel2"/>
        <w:spacing w:line="360" w:lineRule="auto"/>
        <w:rPr>
          <w:rFonts w:ascii="Calibri" w:hAnsi="Calibri" w:cs="Calibri"/>
          <w:b/>
          <w:bCs/>
          <w:sz w:val="22"/>
          <w:szCs w:val="22"/>
        </w:rPr>
      </w:pPr>
      <w:r w:rsidRPr="00B3681E">
        <w:rPr>
          <w:rFonts w:ascii="Calibri" w:hAnsi="Calibri" w:cs="Calibri"/>
          <w:sz w:val="22"/>
          <w:szCs w:val="22"/>
        </w:rPr>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sidRPr="00B3681E">
          <w:rPr>
            <w:rStyle w:val="Hyperlink"/>
            <w:rFonts w:ascii="Calibri" w:hAnsi="Calibri" w:cs="Calibri"/>
            <w:sz w:val="22"/>
            <w:szCs w:val="22"/>
          </w:rPr>
          <w:t>art. 116, da Lei n.º 14.133, de 2021</w:t>
        </w:r>
      </w:hyperlink>
      <w:r w:rsidRPr="00B3681E">
        <w:rPr>
          <w:rFonts w:ascii="Calibri" w:hAnsi="Calibri" w:cs="Calibri"/>
          <w:sz w:val="22"/>
          <w:szCs w:val="22"/>
        </w:rPr>
        <w:t>);</w:t>
      </w:r>
    </w:p>
    <w:p w14:paraId="0A2FA02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Comprovar a reserva de cargos a que se refere a cláusula acima, no prazo fixado pelo fiscal do contrato, com a indicação dos empregados que preencheram as referidas vagas (</w:t>
      </w:r>
      <w:hyperlink r:id="rId13" w:anchor="art116" w:history="1">
        <w:r w:rsidRPr="00B3681E">
          <w:rPr>
            <w:rStyle w:val="Hyperlink"/>
            <w:rFonts w:ascii="Calibri" w:hAnsi="Calibri" w:cs="Calibri"/>
            <w:sz w:val="22"/>
            <w:szCs w:val="22"/>
          </w:rPr>
          <w:t>art. 116, parágrafo único, da Lei n.º 14.133, de 2021</w:t>
        </w:r>
      </w:hyperlink>
      <w:r w:rsidRPr="00B3681E">
        <w:rPr>
          <w:rFonts w:ascii="Calibri" w:hAnsi="Calibri" w:cs="Calibri"/>
          <w:sz w:val="22"/>
          <w:szCs w:val="22"/>
        </w:rPr>
        <w:t>);</w:t>
      </w:r>
    </w:p>
    <w:p w14:paraId="601EA7DE"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  Guardar sigilo sobre todas as informações obtidas em decorrência do cumprimento do contrato; </w:t>
      </w:r>
    </w:p>
    <w:p w14:paraId="131ACAFD"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sidRPr="00B3681E">
          <w:rPr>
            <w:rStyle w:val="Hyperlink"/>
            <w:rFonts w:ascii="Calibri" w:hAnsi="Calibri" w:cs="Calibri"/>
            <w:sz w:val="22"/>
            <w:szCs w:val="22"/>
          </w:rPr>
          <w:t>art. 124, II, d, da Lei nº 14.133, de 2021.</w:t>
        </w:r>
      </w:hyperlink>
    </w:p>
    <w:p w14:paraId="05EA0F80"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Cumprir, além dos postulados legais vigentes de âmbito federal, estadual ou municipal, as normas de segurança do contratante;</w:t>
      </w:r>
    </w:p>
    <w:p w14:paraId="7F614ED4"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GARANTIA DE EXECUÇÃO </w:t>
      </w:r>
    </w:p>
    <w:p w14:paraId="531A1719" w14:textId="77777777" w:rsidR="00FC7494" w:rsidRPr="00EB1454" w:rsidRDefault="00FC7494" w:rsidP="00CA4643">
      <w:pPr>
        <w:pStyle w:val="Nvel2-Red"/>
        <w:spacing w:line="360" w:lineRule="auto"/>
        <w:rPr>
          <w:rFonts w:ascii="Calibri" w:hAnsi="Calibri" w:cs="Calibri"/>
          <w:color w:val="auto"/>
          <w:sz w:val="22"/>
          <w:szCs w:val="22"/>
        </w:rPr>
      </w:pPr>
      <w:r w:rsidRPr="00B3681E">
        <w:rPr>
          <w:rFonts w:ascii="Calibri" w:hAnsi="Calibri" w:cs="Calibri"/>
          <w:sz w:val="22"/>
          <w:szCs w:val="22"/>
        </w:rPr>
        <w:t xml:space="preserve">  </w:t>
      </w:r>
      <w:r w:rsidRPr="00EB1454">
        <w:rPr>
          <w:rFonts w:ascii="Calibri" w:hAnsi="Calibri" w:cs="Calibri"/>
          <w:color w:val="auto"/>
          <w:sz w:val="22"/>
          <w:szCs w:val="22"/>
        </w:rPr>
        <w:t>Não haverá exigência de garantia contratual da execução.</w:t>
      </w:r>
    </w:p>
    <w:p w14:paraId="2AF4EC21"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lastRenderedPageBreak/>
        <w:t xml:space="preserve">CLÁUSULA DÉCIMA PRIMEIRA – INFRAÇÕES E SANÇÕES ADMINISTRATIVAS </w:t>
      </w:r>
    </w:p>
    <w:p w14:paraId="111383DC"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Comete infração administrativa, nos termos da </w:t>
      </w:r>
      <w:hyperlink r:id="rId15" w:history="1">
        <w:r w:rsidRPr="00B3681E">
          <w:rPr>
            <w:rStyle w:val="Hyperlink"/>
            <w:rFonts w:ascii="Calibri" w:hAnsi="Calibri" w:cs="Calibri"/>
            <w:sz w:val="22"/>
            <w:szCs w:val="22"/>
          </w:rPr>
          <w:t>Lei nº 14.133, de 2021</w:t>
        </w:r>
      </w:hyperlink>
      <w:r w:rsidRPr="00B3681E">
        <w:rPr>
          <w:rFonts w:ascii="Calibri" w:hAnsi="Calibri" w:cs="Calibri"/>
          <w:sz w:val="22"/>
          <w:szCs w:val="22"/>
        </w:rPr>
        <w:t>, o contratado que:</w:t>
      </w:r>
    </w:p>
    <w:p w14:paraId="34B6488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w:t>
      </w:r>
    </w:p>
    <w:p w14:paraId="5009CA1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parcial do contrato que cause grave dano à Administração ou ao funcionamento dos serviços públicos ou ao interesse coletivo;</w:t>
      </w:r>
    </w:p>
    <w:p w14:paraId="229BE7FF"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der causa à inexecução total do contrato;</w:t>
      </w:r>
    </w:p>
    <w:p w14:paraId="521FE838"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ensejar o retardamento da execução ou da entrega do objeto da contratação sem motivo justificado;</w:t>
      </w:r>
    </w:p>
    <w:p w14:paraId="2D1C8A3B"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apresentar documentação falsa ou prestar declaração falsa durante a execução do contrato;</w:t>
      </w:r>
    </w:p>
    <w:p w14:paraId="3AEFC3C3"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praticar ato fraudulento na execução do contrato;</w:t>
      </w:r>
    </w:p>
    <w:p w14:paraId="1B35F0E0"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comportar-se de modo inidôneo ou cometer fraude de qualquer natureza;</w:t>
      </w:r>
    </w:p>
    <w:p w14:paraId="7F667D77" w14:textId="77777777" w:rsidR="00FC7494" w:rsidRPr="00B3681E" w:rsidRDefault="00FC7494" w:rsidP="00CA4643">
      <w:pPr>
        <w:numPr>
          <w:ilvl w:val="2"/>
          <w:numId w:val="12"/>
        </w:numPr>
        <w:spacing w:before="120" w:after="120" w:line="360" w:lineRule="auto"/>
        <w:ind w:left="284" w:firstLine="0"/>
        <w:jc w:val="both"/>
        <w:rPr>
          <w:rFonts w:eastAsia="Arial" w:cs="Calibri"/>
        </w:rPr>
      </w:pPr>
      <w:r w:rsidRPr="00B3681E">
        <w:rPr>
          <w:rFonts w:eastAsia="Arial" w:cs="Calibri"/>
        </w:rPr>
        <w:t xml:space="preserve">praticar ato lesivo previsto no </w:t>
      </w:r>
      <w:hyperlink r:id="rId16" w:anchor="art5" w:history="1">
        <w:r w:rsidRPr="00B3681E">
          <w:rPr>
            <w:rStyle w:val="Hyperlink"/>
            <w:rFonts w:eastAsia="Arial" w:cs="Calibri"/>
          </w:rPr>
          <w:t>art. 5º da Lei nº 12.846, de 1º de agosto de 2013</w:t>
        </w:r>
      </w:hyperlink>
      <w:r w:rsidRPr="00B3681E">
        <w:rPr>
          <w:rFonts w:eastAsia="Arial" w:cs="Calibri"/>
        </w:rPr>
        <w:t>.</w:t>
      </w:r>
    </w:p>
    <w:p w14:paraId="19E831F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Serão aplicadas ao contratado que incorrer nas infrações acima descritas as seguintes sanções:</w:t>
      </w:r>
    </w:p>
    <w:p w14:paraId="7BD2CF89"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Advertência</w:t>
      </w:r>
      <w:r w:rsidRPr="00B3681E">
        <w:rPr>
          <w:rFonts w:eastAsia="Arial" w:cs="Calibri"/>
        </w:rPr>
        <w:t>, quando o contratado der causa à inexecução parcial do contrato, sempre que não se justificar a imposição de penalidade mais grave (</w:t>
      </w:r>
      <w:hyperlink r:id="rId17" w:anchor="art156§2" w:history="1">
        <w:r w:rsidRPr="00B3681E">
          <w:rPr>
            <w:rStyle w:val="Hyperlink"/>
            <w:rFonts w:eastAsia="Arial" w:cs="Calibri"/>
          </w:rPr>
          <w:t xml:space="preserve">art. 156, §2º, da </w:t>
        </w:r>
        <w:bookmarkStart w:id="3" w:name="_Hlk114504069"/>
        <w:r w:rsidRPr="00B3681E">
          <w:rPr>
            <w:rStyle w:val="Hyperlink"/>
            <w:rFonts w:eastAsia="Arial" w:cs="Calibri"/>
          </w:rPr>
          <w:t>Lei nº 14.133, de 2021</w:t>
        </w:r>
        <w:bookmarkEnd w:id="3"/>
      </w:hyperlink>
      <w:r w:rsidRPr="00B3681E">
        <w:rPr>
          <w:rFonts w:eastAsia="Arial" w:cs="Calibri"/>
        </w:rPr>
        <w:t>);</w:t>
      </w:r>
    </w:p>
    <w:p w14:paraId="6170BB0C"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Impedimento de licitar e contratar</w:t>
      </w:r>
      <w:r w:rsidRPr="00B3681E">
        <w:rPr>
          <w:rFonts w:eastAsia="Arial" w:cs="Calibri"/>
        </w:rPr>
        <w:t>, quando praticadas as condutas descritas nas alíneas “b”, “c” e “d” do subitem acima deste Contrato, sempre que não se justificar a imposição de penalidade mais grave (</w:t>
      </w:r>
      <w:hyperlink r:id="rId18" w:anchor="art156§4" w:history="1">
        <w:r w:rsidRPr="00B3681E">
          <w:rPr>
            <w:rStyle w:val="Hyperlink"/>
            <w:rFonts w:eastAsia="Arial" w:cs="Calibri"/>
          </w:rPr>
          <w:t>art. 156, § 4º, da Lei nº 14.133, de 2021</w:t>
        </w:r>
      </w:hyperlink>
      <w:r w:rsidRPr="00B3681E">
        <w:rPr>
          <w:rFonts w:eastAsia="Arial" w:cs="Calibri"/>
        </w:rPr>
        <w:t>);</w:t>
      </w:r>
    </w:p>
    <w:p w14:paraId="3CC49400"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t>Declaração de inidoneidade para licitar e contratar</w:t>
      </w:r>
      <w:r w:rsidRPr="00B3681E">
        <w:rPr>
          <w:rFonts w:eastAsia="Arial" w:cs="Calibri"/>
        </w:rPr>
        <w:t>, quando praticadas as condutas descritas nas alíneas “e”, “f”, “g” e “h” do subitem acima deste Contrato, bem como nas alíneas “b”, “c” e “d”, que justifiquem a imposição de penalidade mais grave (</w:t>
      </w:r>
      <w:hyperlink r:id="rId19" w:anchor="art156§5" w:history="1">
        <w:r w:rsidRPr="00B3681E">
          <w:rPr>
            <w:rStyle w:val="Hyperlink"/>
            <w:rFonts w:eastAsia="Arial" w:cs="Calibri"/>
          </w:rPr>
          <w:t>art. 156, §5º, da Lei nº 14.133, de 2021</w:t>
        </w:r>
      </w:hyperlink>
      <w:r w:rsidRPr="00B3681E">
        <w:rPr>
          <w:rFonts w:eastAsia="Arial" w:cs="Calibri"/>
        </w:rPr>
        <w:t>).</w:t>
      </w:r>
    </w:p>
    <w:p w14:paraId="5C6E9944" w14:textId="77777777" w:rsidR="00FC7494" w:rsidRPr="00B3681E" w:rsidRDefault="00FC7494" w:rsidP="00CA4643">
      <w:pPr>
        <w:pStyle w:val="PargrafodaLista"/>
        <w:numPr>
          <w:ilvl w:val="0"/>
          <w:numId w:val="14"/>
        </w:numPr>
        <w:spacing w:before="120" w:after="120" w:line="360" w:lineRule="auto"/>
        <w:ind w:left="284" w:firstLine="0"/>
        <w:jc w:val="both"/>
        <w:rPr>
          <w:rFonts w:eastAsia="Arial" w:cs="Calibri"/>
        </w:rPr>
      </w:pPr>
      <w:r w:rsidRPr="00B3681E">
        <w:rPr>
          <w:rFonts w:eastAsia="Arial" w:cs="Calibri"/>
          <w:b/>
          <w:bCs/>
        </w:rPr>
        <w:lastRenderedPageBreak/>
        <w:t>Multa:</w:t>
      </w:r>
    </w:p>
    <w:p w14:paraId="19FABAAB" w14:textId="77777777" w:rsidR="00FC7494" w:rsidRPr="00B3681E" w:rsidRDefault="00FC7494" w:rsidP="00CA4643">
      <w:pPr>
        <w:pStyle w:val="PargrafodaLista"/>
        <w:numPr>
          <w:ilvl w:val="1"/>
          <w:numId w:val="14"/>
        </w:numPr>
        <w:spacing w:before="120" w:after="120" w:line="360" w:lineRule="auto"/>
        <w:ind w:left="567" w:firstLine="0"/>
        <w:jc w:val="both"/>
        <w:rPr>
          <w:rFonts w:eastAsia="Arial" w:cs="Calibri"/>
        </w:rPr>
      </w:pPr>
      <w:r w:rsidRPr="00B3681E">
        <w:rPr>
          <w:rFonts w:eastAsia="Arial" w:cs="Calibri"/>
        </w:rPr>
        <w:t xml:space="preserve">Moratória </w:t>
      </w:r>
      <w:r w:rsidRPr="00EB1454">
        <w:rPr>
          <w:rFonts w:eastAsia="Arial" w:cs="Calibri"/>
          <w:color w:val="auto"/>
        </w:rPr>
        <w:t xml:space="preserve">de </w:t>
      </w:r>
      <w:proofErr w:type="gramStart"/>
      <w:r w:rsidRPr="00EB1454">
        <w:rPr>
          <w:rFonts w:eastAsia="Arial" w:cs="Calibri"/>
          <w:color w:val="auto"/>
        </w:rPr>
        <w:t>.....</w:t>
      </w:r>
      <w:proofErr w:type="gramEnd"/>
      <w:r w:rsidRPr="00EB1454">
        <w:rPr>
          <w:rFonts w:eastAsia="Arial" w:cs="Calibri"/>
          <w:color w:val="auto"/>
        </w:rPr>
        <w:t>% (..... por</w:t>
      </w:r>
      <w:r w:rsidRPr="00B3681E">
        <w:rPr>
          <w:rFonts w:eastAsia="Arial" w:cs="Calibri"/>
        </w:rPr>
        <w:t xml:space="preserve"> cento) por dia de atraso injustificado sobre o valor da parcela inadimplida, até o limite </w:t>
      </w:r>
      <w:r w:rsidRPr="00EB1454">
        <w:rPr>
          <w:rFonts w:eastAsia="Arial" w:cs="Calibri"/>
          <w:color w:val="auto"/>
        </w:rPr>
        <w:t>de ...... (.......) dias;</w:t>
      </w:r>
    </w:p>
    <w:p w14:paraId="42D7FA5A" w14:textId="77777777" w:rsidR="00FC7494" w:rsidRPr="00EB1454" w:rsidRDefault="00FC7494" w:rsidP="00CA4643">
      <w:pPr>
        <w:pStyle w:val="PargrafodaLista"/>
        <w:numPr>
          <w:ilvl w:val="1"/>
          <w:numId w:val="14"/>
        </w:numPr>
        <w:spacing w:before="120" w:after="120" w:line="360" w:lineRule="auto"/>
        <w:ind w:left="567" w:firstLine="0"/>
        <w:jc w:val="both"/>
        <w:rPr>
          <w:rFonts w:eastAsia="Arial" w:cs="Calibri"/>
          <w:color w:val="auto"/>
        </w:rPr>
      </w:pPr>
      <w:r w:rsidRPr="00EB1454">
        <w:rPr>
          <w:rFonts w:eastAsia="Arial" w:cs="Calibri"/>
          <w:i/>
          <w:iCs/>
          <w:color w:val="auto"/>
        </w:rPr>
        <w:t xml:space="preserve">Moratória de </w:t>
      </w:r>
      <w:proofErr w:type="gramStart"/>
      <w:r w:rsidRPr="00EB1454">
        <w:rPr>
          <w:rFonts w:eastAsia="Arial" w:cs="Calibri"/>
          <w:i/>
          <w:iCs/>
          <w:color w:val="auto"/>
        </w:rPr>
        <w:t>.....</w:t>
      </w:r>
      <w:proofErr w:type="gramEnd"/>
      <w:r w:rsidRPr="00EB1454">
        <w:rPr>
          <w:rFonts w:eastAsia="Arial" w:cs="Calibri"/>
          <w:i/>
          <w:iCs/>
          <w:color w:val="auto"/>
        </w:rPr>
        <w:t xml:space="preserve">% (..... por cento) por dia de atraso injustificado sobre o valor total do contrato, até o máximo de </w:t>
      </w:r>
      <w:proofErr w:type="gramStart"/>
      <w:r w:rsidRPr="00EB1454">
        <w:rPr>
          <w:rFonts w:eastAsia="Arial" w:cs="Calibri"/>
          <w:i/>
          <w:iCs/>
          <w:color w:val="auto"/>
        </w:rPr>
        <w:t>.....</w:t>
      </w:r>
      <w:proofErr w:type="gramEnd"/>
      <w:r w:rsidRPr="00EB1454">
        <w:rPr>
          <w:rFonts w:eastAsia="Arial" w:cs="Calibri"/>
          <w:i/>
          <w:iCs/>
          <w:color w:val="auto"/>
        </w:rPr>
        <w:t>% (.... por cento), pela inobservância do prazo fixado para apresentação, suplementação ou reposição da garantia.</w:t>
      </w:r>
    </w:p>
    <w:p w14:paraId="72AC2C6E" w14:textId="77777777" w:rsidR="00FC7494" w:rsidRPr="00EB1454" w:rsidRDefault="00FC7494" w:rsidP="00CA4643">
      <w:pPr>
        <w:pStyle w:val="PargrafodaLista"/>
        <w:numPr>
          <w:ilvl w:val="2"/>
          <w:numId w:val="14"/>
        </w:numPr>
        <w:spacing w:before="120" w:after="120" w:line="360" w:lineRule="auto"/>
        <w:ind w:left="851" w:firstLine="0"/>
        <w:jc w:val="both"/>
        <w:rPr>
          <w:rFonts w:eastAsia="Arial" w:cs="Calibri"/>
          <w:color w:val="auto"/>
        </w:rPr>
      </w:pPr>
      <w:r w:rsidRPr="00EB1454">
        <w:rPr>
          <w:rFonts w:eastAsia="Arial" w:cs="Calibri"/>
          <w:i/>
          <w:iCs/>
          <w:color w:val="auto"/>
        </w:rPr>
        <w:t xml:space="preserve">O atraso superior a XXXXXX dias autoriza a Administração a promover a extinção do contrato por descumprimento ou cumprimento irregular de suas cláusulas, conforme dispõe o inciso I do art. 137 da Lei n. 14.133, de 2021. </w:t>
      </w:r>
    </w:p>
    <w:p w14:paraId="52315AB7"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A aplicação das sanções previstas neste Contrato não exclui, em hipótese alguma, a obrigação de reparação integral do dano causado ao Contratante (</w:t>
      </w:r>
      <w:hyperlink r:id="rId20" w:anchor="art156§9" w:history="1">
        <w:r w:rsidRPr="00B3681E">
          <w:rPr>
            <w:rStyle w:val="Hyperlink"/>
            <w:rFonts w:ascii="Calibri" w:hAnsi="Calibri" w:cs="Calibri"/>
            <w:sz w:val="22"/>
            <w:szCs w:val="22"/>
          </w:rPr>
          <w:t>art. 156, §9º, da Lei nº 14.133, de 2021</w:t>
        </w:r>
      </w:hyperlink>
      <w:r w:rsidRPr="00B3681E">
        <w:rPr>
          <w:rFonts w:ascii="Calibri" w:hAnsi="Calibri" w:cs="Calibri"/>
          <w:sz w:val="22"/>
          <w:szCs w:val="22"/>
        </w:rPr>
        <w:t>)</w:t>
      </w:r>
    </w:p>
    <w:p w14:paraId="4A7207E7"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Todas as sanções previstas neste Contrato poderão ser aplicadas cumulativamente com a multa (</w:t>
      </w:r>
      <w:hyperlink r:id="rId21" w:anchor="art156§7" w:history="1">
        <w:r w:rsidRPr="00B3681E">
          <w:rPr>
            <w:rStyle w:val="Hyperlink"/>
            <w:rFonts w:ascii="Calibri" w:hAnsi="Calibri" w:cs="Calibri"/>
            <w:sz w:val="22"/>
            <w:szCs w:val="22"/>
          </w:rPr>
          <w:t>art. 156, §7º, da Lei nº 14.133, de 2021</w:t>
        </w:r>
      </w:hyperlink>
      <w:r w:rsidRPr="00B3681E">
        <w:rPr>
          <w:rFonts w:ascii="Calibri" w:hAnsi="Calibri" w:cs="Calibri"/>
          <w:sz w:val="22"/>
          <w:szCs w:val="22"/>
        </w:rPr>
        <w:t>).</w:t>
      </w:r>
    </w:p>
    <w:p w14:paraId="13A61890"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Antes da aplicação da multa será facultada a defesa do interessado no prazo de 15 (quinze) dias úteis, contado da data de sua intimação (</w:t>
      </w:r>
      <w:hyperlink r:id="rId22" w:anchor="art157" w:history="1">
        <w:r w:rsidRPr="00B3681E">
          <w:rPr>
            <w:rStyle w:val="Hyperlink"/>
            <w:rFonts w:ascii="Calibri" w:hAnsi="Calibri" w:cs="Calibri"/>
            <w:sz w:val="22"/>
            <w:szCs w:val="22"/>
          </w:rPr>
          <w:t>art. 157, da Lei nº 14.133, de 2021</w:t>
        </w:r>
      </w:hyperlink>
      <w:r w:rsidRPr="00B3681E">
        <w:rPr>
          <w:rFonts w:ascii="Calibri" w:hAnsi="Calibri" w:cs="Calibri"/>
          <w:sz w:val="22"/>
          <w:szCs w:val="22"/>
        </w:rPr>
        <w:t>)</w:t>
      </w:r>
    </w:p>
    <w:p w14:paraId="66091883"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B3681E">
          <w:rPr>
            <w:rStyle w:val="Hyperlink"/>
            <w:rFonts w:ascii="Calibri" w:hAnsi="Calibri" w:cs="Calibri"/>
            <w:sz w:val="22"/>
            <w:szCs w:val="22"/>
          </w:rPr>
          <w:t>art. 156, §8º, da Lei nº 14.133, de 2021</w:t>
        </w:r>
      </w:hyperlink>
      <w:r w:rsidRPr="00B3681E">
        <w:rPr>
          <w:rFonts w:ascii="Calibri" w:hAnsi="Calibri" w:cs="Calibri"/>
          <w:sz w:val="22"/>
          <w:szCs w:val="22"/>
        </w:rPr>
        <w:t>).</w:t>
      </w:r>
    </w:p>
    <w:p w14:paraId="05FE4F62"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t xml:space="preserve">Previamente ao encaminhamento à cobrança judicial, a multa poderá ser recolhida administrativamente no prazo máximo de </w:t>
      </w:r>
      <w:r w:rsidRPr="00EB1454">
        <w:rPr>
          <w:rFonts w:ascii="Calibri" w:hAnsi="Calibri" w:cs="Calibri"/>
          <w:i/>
          <w:iCs/>
          <w:color w:val="auto"/>
          <w:sz w:val="22"/>
          <w:szCs w:val="22"/>
        </w:rPr>
        <w:t xml:space="preserve">XX (XXXX) </w:t>
      </w:r>
      <w:r w:rsidRPr="00EB1454">
        <w:rPr>
          <w:rFonts w:ascii="Calibri" w:hAnsi="Calibri" w:cs="Calibri"/>
          <w:color w:val="auto"/>
          <w:sz w:val="22"/>
          <w:szCs w:val="22"/>
        </w:rPr>
        <w:t>dias</w:t>
      </w:r>
      <w:r w:rsidRPr="00B3681E">
        <w:rPr>
          <w:rFonts w:ascii="Calibri" w:hAnsi="Calibri" w:cs="Calibri"/>
          <w:sz w:val="22"/>
          <w:szCs w:val="22"/>
        </w:rPr>
        <w:t>, a contar da data do recebimento da comunicação enviada pela autoridade competente.</w:t>
      </w:r>
      <w:bookmarkStart w:id="4" w:name="_Hlk78351618"/>
      <w:bookmarkEnd w:id="4"/>
    </w:p>
    <w:p w14:paraId="08380466"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A aplicação das sanções realizar-se-á em processo administrativo que assegure o contraditório e a ampla defesa ao Contratado, observando-se o procedimento previsto no </w:t>
      </w:r>
      <w:r w:rsidRPr="00B3681E">
        <w:rPr>
          <w:rFonts w:ascii="Calibri" w:hAnsi="Calibri" w:cs="Calibri"/>
          <w:b/>
          <w:bCs/>
          <w:sz w:val="22"/>
          <w:szCs w:val="22"/>
        </w:rPr>
        <w:t xml:space="preserve">caput </w:t>
      </w:r>
      <w:r w:rsidRPr="00B3681E">
        <w:rPr>
          <w:rFonts w:ascii="Calibri" w:hAnsi="Calibri" w:cs="Calibri"/>
          <w:sz w:val="22"/>
          <w:szCs w:val="22"/>
        </w:rPr>
        <w:t xml:space="preserve">e parágrafos do </w:t>
      </w:r>
      <w:hyperlink r:id="rId24" w:anchor="art158" w:history="1">
        <w:r w:rsidRPr="00B3681E">
          <w:rPr>
            <w:rStyle w:val="Hyperlink"/>
            <w:rFonts w:ascii="Calibri" w:hAnsi="Calibri" w:cs="Calibri"/>
            <w:sz w:val="22"/>
            <w:szCs w:val="22"/>
          </w:rPr>
          <w:t>art. 158 da Lei nº 14.133, de 2021</w:t>
        </w:r>
      </w:hyperlink>
      <w:r w:rsidRPr="00B3681E">
        <w:rPr>
          <w:rFonts w:ascii="Calibri" w:hAnsi="Calibri" w:cs="Calibri"/>
          <w:sz w:val="22"/>
          <w:szCs w:val="22"/>
        </w:rPr>
        <w:t>, para as penalidades de impedimento de licitar e contratar e de declaração de inidoneidade para licitar ou contratar.</w:t>
      </w:r>
    </w:p>
    <w:p w14:paraId="680D6D75"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Na aplicação das sanções serão considerados (</w:t>
      </w:r>
      <w:hyperlink r:id="rId25" w:anchor="art156§1" w:history="1">
        <w:r w:rsidRPr="00B3681E">
          <w:rPr>
            <w:rStyle w:val="Hyperlink"/>
            <w:rFonts w:ascii="Calibri" w:hAnsi="Calibri" w:cs="Calibri"/>
            <w:sz w:val="22"/>
            <w:szCs w:val="22"/>
          </w:rPr>
          <w:t>art. 156, §1º, da Lei nº 14.133, de 2021</w:t>
        </w:r>
      </w:hyperlink>
      <w:r w:rsidRPr="00B3681E">
        <w:rPr>
          <w:rFonts w:ascii="Calibri" w:hAnsi="Calibri" w:cs="Calibri"/>
          <w:sz w:val="22"/>
          <w:szCs w:val="22"/>
        </w:rPr>
        <w:t>):</w:t>
      </w:r>
    </w:p>
    <w:p w14:paraId="662D086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natureza e a gravidade da infração cometida;</w:t>
      </w:r>
    </w:p>
    <w:p w14:paraId="68A75A23"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peculiaridades do caso concreto;</w:t>
      </w:r>
    </w:p>
    <w:p w14:paraId="7739D5F1"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as circunstâncias agravantes ou atenuantes;</w:t>
      </w:r>
    </w:p>
    <w:p w14:paraId="00D1679B"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os danos que dela provierem para o Contratante;</w:t>
      </w:r>
    </w:p>
    <w:p w14:paraId="7C804BE5" w14:textId="77777777" w:rsidR="00FC7494" w:rsidRPr="00B3681E" w:rsidRDefault="00FC7494" w:rsidP="00CA4643">
      <w:pPr>
        <w:numPr>
          <w:ilvl w:val="0"/>
          <w:numId w:val="10"/>
        </w:numPr>
        <w:spacing w:before="120" w:after="120" w:line="360" w:lineRule="auto"/>
        <w:ind w:left="284" w:firstLine="0"/>
        <w:contextualSpacing/>
        <w:jc w:val="both"/>
        <w:rPr>
          <w:rFonts w:eastAsia="Arial" w:cs="Calibri"/>
        </w:rPr>
      </w:pPr>
      <w:r w:rsidRPr="00B3681E">
        <w:rPr>
          <w:rFonts w:eastAsia="Arial" w:cs="Calibri"/>
        </w:rPr>
        <w:t>a implantação ou o aperfeiçoamento de programa de integridade, conforme normas e orientações dos órgãos de controle.</w:t>
      </w:r>
    </w:p>
    <w:p w14:paraId="60EC7EEF"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t xml:space="preserve">Os atos previstos como infrações administrativas na </w:t>
      </w:r>
      <w:hyperlink r:id="rId26" w:history="1">
        <w:r w:rsidRPr="00B3681E">
          <w:rPr>
            <w:rStyle w:val="Hyperlink"/>
            <w:rFonts w:ascii="Calibri" w:hAnsi="Calibri" w:cs="Calibri"/>
            <w:sz w:val="22"/>
            <w:szCs w:val="22"/>
          </w:rPr>
          <w:t>Lei nº 14.133, de 2021</w:t>
        </w:r>
      </w:hyperlink>
      <w:r w:rsidRPr="00B3681E">
        <w:rPr>
          <w:rFonts w:ascii="Calibri" w:hAnsi="Calibri" w:cs="Calibri"/>
          <w:sz w:val="22"/>
          <w:szCs w:val="22"/>
        </w:rPr>
        <w:t xml:space="preserve">, ou em outras leis de licitações e contratos da Administração Pública que também sejam tipificados como atos lesivos na </w:t>
      </w:r>
      <w:hyperlink r:id="rId27" w:history="1">
        <w:r w:rsidRPr="00B3681E">
          <w:rPr>
            <w:rStyle w:val="Hyperlink"/>
            <w:rFonts w:ascii="Calibri" w:hAnsi="Calibri" w:cs="Calibri"/>
            <w:sz w:val="22"/>
            <w:szCs w:val="22"/>
          </w:rPr>
          <w:t>Lei nº 12.846, de 2013</w:t>
        </w:r>
      </w:hyperlink>
      <w:r w:rsidRPr="00B3681E">
        <w:rPr>
          <w:rFonts w:ascii="Calibri" w:hAnsi="Calibri" w:cs="Calibri"/>
          <w:sz w:val="22"/>
          <w:szCs w:val="22"/>
        </w:rPr>
        <w:t>, serão apurados e julgados conjuntamente, nos mesmos autos, observados o rito procedimental e autoridade competente definidos na referida Lei (</w:t>
      </w:r>
      <w:hyperlink r:id="rId28" w:history="1">
        <w:r w:rsidRPr="00B3681E">
          <w:rPr>
            <w:rStyle w:val="Hyperlink"/>
            <w:rFonts w:ascii="Calibri" w:hAnsi="Calibri" w:cs="Calibri"/>
            <w:sz w:val="22"/>
            <w:szCs w:val="22"/>
          </w:rPr>
          <w:t>art. 159</w:t>
        </w:r>
      </w:hyperlink>
      <w:r w:rsidRPr="00B3681E">
        <w:rPr>
          <w:rFonts w:ascii="Calibri" w:hAnsi="Calibri" w:cs="Calibri"/>
          <w:sz w:val="22"/>
          <w:szCs w:val="22"/>
        </w:rPr>
        <w:t>).</w:t>
      </w:r>
    </w:p>
    <w:p w14:paraId="6BCE8E08"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B3681E">
          <w:rPr>
            <w:rStyle w:val="Hyperlink"/>
            <w:rFonts w:ascii="Calibri" w:hAnsi="Calibri" w:cs="Calibri"/>
            <w:sz w:val="22"/>
            <w:szCs w:val="22"/>
          </w:rPr>
          <w:t>art. 160, da Lei nº 14.133, de 2021</w:t>
        </w:r>
      </w:hyperlink>
      <w:r w:rsidRPr="00B3681E">
        <w:rPr>
          <w:rFonts w:ascii="Calibri" w:hAnsi="Calibri" w:cs="Calibri"/>
          <w:sz w:val="22"/>
          <w:szCs w:val="22"/>
        </w:rPr>
        <w:t>).</w:t>
      </w:r>
    </w:p>
    <w:p w14:paraId="6E2BC8BB"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30" w:anchor="art161" w:history="1">
        <w:r w:rsidRPr="00B3681E">
          <w:rPr>
            <w:rStyle w:val="Hyperlink"/>
            <w:rFonts w:ascii="Calibri" w:hAnsi="Calibri" w:cs="Calibri"/>
            <w:sz w:val="22"/>
            <w:szCs w:val="22"/>
          </w:rPr>
          <w:t>Art. 161, da Lei nº 14.133, de 2021</w:t>
        </w:r>
      </w:hyperlink>
      <w:r w:rsidRPr="00B3681E">
        <w:rPr>
          <w:rFonts w:ascii="Calibri" w:hAnsi="Calibri" w:cs="Calibri"/>
          <w:sz w:val="22"/>
          <w:szCs w:val="22"/>
        </w:rPr>
        <w:t>).</w:t>
      </w:r>
    </w:p>
    <w:p w14:paraId="20C0A9A4" w14:textId="77777777" w:rsidR="00FC7494" w:rsidRPr="00B3681E" w:rsidRDefault="00FC7494" w:rsidP="00CA4643">
      <w:pPr>
        <w:pStyle w:val="Nivel2"/>
        <w:spacing w:line="360" w:lineRule="auto"/>
        <w:rPr>
          <w:rFonts w:ascii="Calibri" w:hAnsi="Calibri" w:cs="Calibri"/>
          <w:i/>
          <w:iCs/>
          <w:sz w:val="22"/>
          <w:szCs w:val="22"/>
        </w:rPr>
      </w:pPr>
      <w:r w:rsidRPr="00B3681E">
        <w:rPr>
          <w:rFonts w:ascii="Calibri" w:hAnsi="Calibri" w:cs="Calibri"/>
          <w:sz w:val="22"/>
          <w:szCs w:val="22"/>
        </w:rPr>
        <w:t xml:space="preserve">As sanções de impedimento de licitar e contratar e declaração de inidoneidade para licitar ou contratar são passíveis de reabilitação na forma do </w:t>
      </w:r>
      <w:hyperlink r:id="rId31" w:anchor="163" w:history="1">
        <w:r w:rsidRPr="00B3681E">
          <w:rPr>
            <w:rStyle w:val="Hyperlink"/>
            <w:rFonts w:ascii="Calibri" w:hAnsi="Calibri" w:cs="Calibri"/>
            <w:sz w:val="22"/>
            <w:szCs w:val="22"/>
          </w:rPr>
          <w:t>art. 163 da Lei nº 14.133/21</w:t>
        </w:r>
      </w:hyperlink>
      <w:r w:rsidRPr="00B3681E">
        <w:rPr>
          <w:rFonts w:ascii="Calibri" w:hAnsi="Calibri" w:cs="Calibri"/>
          <w:sz w:val="22"/>
          <w:szCs w:val="22"/>
        </w:rPr>
        <w:t>.</w:t>
      </w:r>
    </w:p>
    <w:p w14:paraId="1A38CE39" w14:textId="77777777" w:rsidR="00FC7494" w:rsidRPr="00B3681E" w:rsidRDefault="00FC7494" w:rsidP="00CA4643">
      <w:pPr>
        <w:pStyle w:val="Nivel2"/>
        <w:spacing w:line="360" w:lineRule="auto"/>
        <w:rPr>
          <w:rFonts w:ascii="Calibri" w:hAnsi="Calibri" w:cs="Calibri"/>
          <w:sz w:val="22"/>
          <w:szCs w:val="22"/>
        </w:rPr>
      </w:pPr>
      <w:r w:rsidRPr="00B3681E">
        <w:rPr>
          <w:rFonts w:ascii="Calibri" w:hAnsi="Calibri" w:cs="Calibri"/>
          <w:sz w:val="22"/>
          <w:szCs w:val="22"/>
        </w:rPr>
        <w:lastRenderedPageBreak/>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B3681E">
          <w:rPr>
            <w:rStyle w:val="Hyperlink"/>
            <w:rFonts w:ascii="Calibri" w:hAnsi="Calibri" w:cs="Calibri"/>
            <w:sz w:val="22"/>
            <w:szCs w:val="22"/>
          </w:rPr>
          <w:t>Normativa SEGES/ME nº 26, de 13 de abril de 2022</w:t>
        </w:r>
      </w:hyperlink>
      <w:r w:rsidRPr="00B3681E">
        <w:rPr>
          <w:rFonts w:ascii="Calibri" w:hAnsi="Calibri" w:cs="Calibri"/>
          <w:sz w:val="22"/>
          <w:szCs w:val="22"/>
        </w:rPr>
        <w:t xml:space="preserve">. </w:t>
      </w:r>
    </w:p>
    <w:p w14:paraId="104C2BCA" w14:textId="77777777" w:rsidR="00FC7494" w:rsidRPr="00B3681E" w:rsidRDefault="00FC7494" w:rsidP="00CA4643">
      <w:pPr>
        <w:pStyle w:val="Nivel01"/>
        <w:spacing w:line="360" w:lineRule="auto"/>
        <w:rPr>
          <w:rFonts w:ascii="Calibri" w:hAnsi="Calibri" w:cs="Calibri"/>
          <w:color w:val="FFFFFF"/>
          <w:sz w:val="22"/>
          <w:szCs w:val="22"/>
        </w:rPr>
      </w:pPr>
      <w:r w:rsidRPr="00B3681E">
        <w:rPr>
          <w:rFonts w:ascii="Calibri" w:hAnsi="Calibri" w:cs="Calibri"/>
          <w:sz w:val="22"/>
          <w:szCs w:val="22"/>
        </w:rPr>
        <w:t xml:space="preserve">CLÁUSULA DÉCIMA SEGUNDA– DA EXTINÇÃO CONTRATUAL </w:t>
      </w:r>
    </w:p>
    <w:p w14:paraId="55389802" w14:textId="77777777" w:rsidR="00FC7494" w:rsidRPr="00EB1454" w:rsidRDefault="00FC7494" w:rsidP="00CA4643">
      <w:pPr>
        <w:pStyle w:val="Nvel2-Red"/>
        <w:spacing w:line="360" w:lineRule="auto"/>
        <w:rPr>
          <w:rFonts w:ascii="Calibri" w:hAnsi="Calibri" w:cs="Calibri"/>
          <w:color w:val="auto"/>
          <w:sz w:val="22"/>
          <w:szCs w:val="22"/>
        </w:rPr>
      </w:pPr>
      <w:r w:rsidRPr="00EB1454">
        <w:rPr>
          <w:rFonts w:ascii="Calibri" w:hAnsi="Calibri" w:cs="Calibri"/>
          <w:color w:val="auto"/>
          <w:sz w:val="22"/>
          <w:szCs w:val="22"/>
        </w:rPr>
        <w:t>O contrato será extinto</w:t>
      </w:r>
      <w:r w:rsidRPr="00EB1454">
        <w:rPr>
          <w:rFonts w:ascii="Calibri" w:hAnsi="Calibri" w:cs="Calibri"/>
          <w:i w:val="0"/>
          <w:color w:val="auto"/>
          <w:sz w:val="22"/>
          <w:szCs w:val="22"/>
        </w:rPr>
        <w:t xml:space="preserve"> </w:t>
      </w:r>
      <w:r w:rsidRPr="00EB1454">
        <w:rPr>
          <w:rFonts w:ascii="Calibri" w:hAnsi="Calibri" w:cs="Calibri"/>
          <w:color w:val="auto"/>
          <w:sz w:val="22"/>
          <w:szCs w:val="22"/>
        </w:rPr>
        <w:t>quando vencido o prazo nele estipulado, independentemente de terem sido cumpridas ou não as obrigações de ambas as partes contraentes.</w:t>
      </w:r>
    </w:p>
    <w:p w14:paraId="772C6455"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O contrato poderá ser extinto antes do prazo nele fixado, sem ônus para o Contratante, quando este não dispuser de créditos orçamentários para sua continuidade ou quando entender que o contrato não mais lhe oferece vantagem.</w:t>
      </w:r>
    </w:p>
    <w:p w14:paraId="7D120863"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A extinção nesta hipótese ocorrerá na próxima data de aniversário do contrato, desde que haja a notificação do contratado pelo contratante nesse sentido com pelo menos 2 (dois) meses de antecedência desse dia.</w:t>
      </w:r>
    </w:p>
    <w:p w14:paraId="37D8B361" w14:textId="77777777" w:rsidR="00FC7494" w:rsidRPr="00EB1454" w:rsidRDefault="00FC7494" w:rsidP="00CA4643">
      <w:pPr>
        <w:pStyle w:val="Nvel3-R"/>
        <w:spacing w:line="360" w:lineRule="auto"/>
        <w:rPr>
          <w:rFonts w:ascii="Calibri" w:hAnsi="Calibri" w:cs="Calibri"/>
          <w:color w:val="auto"/>
          <w:sz w:val="22"/>
          <w:szCs w:val="22"/>
        </w:rPr>
      </w:pPr>
      <w:r w:rsidRPr="00EB1454">
        <w:rPr>
          <w:rFonts w:ascii="Calibri" w:hAnsi="Calibri" w:cs="Calibri"/>
          <w:color w:val="auto"/>
          <w:sz w:val="22"/>
          <w:szCs w:val="22"/>
        </w:rPr>
        <w:t>Caso a notificação da não-continuidade do contrato de que trata este subitem ocorra com menos de 2 (dois) meses da data de aniversário, a extinção contratual ocorrerá após 2 (dois) meses da data da comunicação.</w:t>
      </w:r>
    </w:p>
    <w:p w14:paraId="0F665BFE" w14:textId="77777777" w:rsidR="00FC7494" w:rsidRPr="00EB1454"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 xml:space="preserve">O contrato poderá ser extinto antes de cumpridas as obrigações nele estipuladas, ou antes do prazo nele fixado, por algum dos motivos previstos no </w:t>
      </w:r>
      <w:hyperlink r:id="rId33" w:anchor="art137" w:history="1">
        <w:r w:rsidRPr="00EB1454">
          <w:rPr>
            <w:rStyle w:val="Hyperlink"/>
            <w:rFonts w:ascii="Calibri" w:hAnsi="Calibri" w:cs="Calibri"/>
            <w:sz w:val="22"/>
            <w:szCs w:val="22"/>
          </w:rPr>
          <w:t>artigo 137 da Lei nº 14.133/21</w:t>
        </w:r>
      </w:hyperlink>
      <w:r w:rsidRPr="00EB1454">
        <w:rPr>
          <w:rFonts w:ascii="Calibri" w:hAnsi="Calibri" w:cs="Calibri"/>
          <w:sz w:val="22"/>
          <w:szCs w:val="22"/>
        </w:rPr>
        <w:t>, bem como amigavelmente, assegurados o contraditório e a ampla defesa.</w:t>
      </w:r>
    </w:p>
    <w:p w14:paraId="64E3EB40"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 xml:space="preserve">Nesta hipótese, aplicam-se também os </w:t>
      </w:r>
      <w:hyperlink r:id="rId34" w:anchor="art138" w:history="1">
        <w:r w:rsidRPr="00EB1454">
          <w:rPr>
            <w:rStyle w:val="Hyperlink"/>
            <w:rFonts w:ascii="Calibri" w:hAnsi="Calibri" w:cs="Calibri"/>
            <w:sz w:val="22"/>
            <w:szCs w:val="22"/>
          </w:rPr>
          <w:t>artigos 138 e 139 da mesma Lei</w:t>
        </w:r>
      </w:hyperlink>
      <w:r w:rsidRPr="00EB1454">
        <w:rPr>
          <w:rFonts w:ascii="Calibri" w:hAnsi="Calibri" w:cs="Calibri"/>
          <w:sz w:val="22"/>
          <w:szCs w:val="22"/>
        </w:rPr>
        <w:t>.</w:t>
      </w:r>
    </w:p>
    <w:p w14:paraId="16C4D723" w14:textId="77777777" w:rsidR="00FC7494" w:rsidRPr="00EB1454" w:rsidRDefault="00FC7494" w:rsidP="00CA4643">
      <w:pPr>
        <w:pStyle w:val="Nivel3"/>
        <w:spacing w:line="360" w:lineRule="auto"/>
        <w:rPr>
          <w:rFonts w:ascii="Calibri" w:hAnsi="Calibri" w:cs="Calibri"/>
          <w:sz w:val="22"/>
          <w:szCs w:val="22"/>
        </w:rPr>
      </w:pPr>
      <w:r w:rsidRPr="00EB1454">
        <w:rPr>
          <w:rFonts w:ascii="Calibri" w:hAnsi="Calibri" w:cs="Calibri"/>
          <w:sz w:val="22"/>
          <w:szCs w:val="22"/>
        </w:rPr>
        <w:t>A alteração social ou a modificação da finalidade ou da estrutura da empresa não ensejará a extinção se não restringir sua capacidade de concluir o contrato.</w:t>
      </w:r>
    </w:p>
    <w:p w14:paraId="187E07E0" w14:textId="77777777" w:rsidR="00FC7494" w:rsidRPr="00EB1454" w:rsidRDefault="00FC7494" w:rsidP="00CA4643">
      <w:pPr>
        <w:pStyle w:val="Nivel4"/>
        <w:spacing w:line="360" w:lineRule="auto"/>
        <w:rPr>
          <w:rFonts w:ascii="Calibri" w:hAnsi="Calibri" w:cs="Calibri"/>
          <w:sz w:val="22"/>
          <w:szCs w:val="22"/>
        </w:rPr>
      </w:pPr>
      <w:r w:rsidRPr="00EB1454">
        <w:rPr>
          <w:rFonts w:ascii="Calibri" w:hAnsi="Calibri" w:cs="Calibri"/>
          <w:color w:val="000000"/>
          <w:sz w:val="22"/>
          <w:szCs w:val="22"/>
        </w:rPr>
        <w:t xml:space="preserve">Se a </w:t>
      </w:r>
      <w:r w:rsidRPr="00EB1454">
        <w:rPr>
          <w:rFonts w:ascii="Calibri" w:hAnsi="Calibri" w:cs="Calibri"/>
          <w:sz w:val="22"/>
          <w:szCs w:val="22"/>
        </w:rPr>
        <w:t>operação</w:t>
      </w:r>
      <w:r w:rsidRPr="00EB1454">
        <w:rPr>
          <w:rFonts w:ascii="Calibri" w:hAnsi="Calibri" w:cs="Calibri"/>
          <w:color w:val="000000"/>
          <w:sz w:val="22"/>
          <w:szCs w:val="22"/>
        </w:rPr>
        <w:t xml:space="preserve"> </w:t>
      </w:r>
      <w:r w:rsidRPr="00EB1454">
        <w:rPr>
          <w:rFonts w:ascii="Calibri" w:hAnsi="Calibri" w:cs="Calibri"/>
          <w:sz w:val="22"/>
          <w:szCs w:val="22"/>
        </w:rPr>
        <w:t>implicar mudança da pessoa jurídica contratada, deverá ser formalizado termo aditivo para alteração subjetiva.</w:t>
      </w:r>
    </w:p>
    <w:p w14:paraId="3600CBA8" w14:textId="77777777" w:rsidR="00FC7494" w:rsidRPr="00B3681E" w:rsidRDefault="00FC7494" w:rsidP="00CA4643">
      <w:pPr>
        <w:pStyle w:val="Nivel2"/>
        <w:spacing w:line="360" w:lineRule="auto"/>
        <w:rPr>
          <w:rFonts w:ascii="Calibri" w:hAnsi="Calibri" w:cs="Calibri"/>
          <w:sz w:val="22"/>
          <w:szCs w:val="22"/>
        </w:rPr>
      </w:pPr>
      <w:r w:rsidRPr="00EB1454">
        <w:rPr>
          <w:rFonts w:ascii="Calibri" w:hAnsi="Calibri" w:cs="Calibri"/>
          <w:sz w:val="22"/>
          <w:szCs w:val="22"/>
        </w:rPr>
        <w:t>O termo de extinção</w:t>
      </w:r>
      <w:r w:rsidRPr="00B3681E">
        <w:rPr>
          <w:rFonts w:ascii="Calibri" w:hAnsi="Calibri" w:cs="Calibri"/>
          <w:sz w:val="22"/>
          <w:szCs w:val="22"/>
        </w:rPr>
        <w:t>, sempre que possível, será precedido:</w:t>
      </w:r>
    </w:p>
    <w:p w14:paraId="5791B71C" w14:textId="77777777" w:rsidR="00FC7494" w:rsidRPr="00B3681E" w:rsidRDefault="00FC7494" w:rsidP="00CA4643">
      <w:pPr>
        <w:pStyle w:val="Nivel3"/>
        <w:spacing w:line="360" w:lineRule="auto"/>
        <w:rPr>
          <w:rFonts w:ascii="Calibri" w:hAnsi="Calibri" w:cs="Calibri"/>
          <w:sz w:val="22"/>
          <w:szCs w:val="22"/>
        </w:rPr>
      </w:pPr>
      <w:r w:rsidRPr="00B3681E">
        <w:rPr>
          <w:rFonts w:ascii="Calibri" w:hAnsi="Calibri" w:cs="Calibri"/>
          <w:sz w:val="22"/>
          <w:szCs w:val="22"/>
        </w:rPr>
        <w:lastRenderedPageBreak/>
        <w:t>Balanço dos eventos contratuais já cumpridos ou parcialmente cumpridos;</w:t>
      </w:r>
    </w:p>
    <w:p w14:paraId="0C2A872A"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Relação dos pagamentos já efetuados e ainda devidos;</w:t>
      </w:r>
    </w:p>
    <w:p w14:paraId="56900F8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Indenizações e multas.</w:t>
      </w:r>
    </w:p>
    <w:p w14:paraId="6FAF9902"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 extinção do contrato não configura óbice para o reconhecimento do desequilíbrio econômico-financeiro, hipótese em que será concedida indenização por meio de termo indenizatório (</w:t>
      </w:r>
      <w:hyperlink r:id="rId35" w:anchor="art131">
        <w:r w:rsidRPr="00B3681E">
          <w:rPr>
            <w:rStyle w:val="Hyperlink"/>
            <w:rFonts w:ascii="Calibri" w:hAnsi="Calibri" w:cs="Calibri"/>
            <w:sz w:val="22"/>
            <w:szCs w:val="22"/>
          </w:rPr>
          <w:t xml:space="preserve">art. 131, </w:t>
        </w:r>
        <w:r w:rsidRPr="00B3681E">
          <w:rPr>
            <w:rStyle w:val="Hyperlink"/>
            <w:rFonts w:ascii="Calibri" w:hAnsi="Calibri" w:cs="Calibri"/>
            <w:i/>
            <w:iCs/>
            <w:sz w:val="22"/>
            <w:szCs w:val="22"/>
          </w:rPr>
          <w:t xml:space="preserve">caput, </w:t>
        </w:r>
        <w:r w:rsidRPr="00B3681E">
          <w:rPr>
            <w:rStyle w:val="Hyperlink"/>
            <w:rFonts w:ascii="Calibri" w:hAnsi="Calibri" w:cs="Calibri"/>
            <w:sz w:val="22"/>
            <w:szCs w:val="22"/>
          </w:rPr>
          <w:t>da Lei n.º 14.133, de 2021</w:t>
        </w:r>
      </w:hyperlink>
      <w:r w:rsidRPr="00B3681E">
        <w:rPr>
          <w:rFonts w:ascii="Calibri" w:hAnsi="Calibri" w:cs="Calibri"/>
          <w:sz w:val="22"/>
          <w:szCs w:val="22"/>
        </w:rPr>
        <w:t xml:space="preserve">). </w:t>
      </w:r>
    </w:p>
    <w:p w14:paraId="3E8DD711" w14:textId="77777777" w:rsidR="00FC7494" w:rsidRPr="00EB1454" w:rsidRDefault="00FC7494" w:rsidP="00924530">
      <w:pPr>
        <w:pStyle w:val="Nivel2"/>
        <w:spacing w:line="240" w:lineRule="auto"/>
        <w:rPr>
          <w:rFonts w:ascii="Calibri" w:hAnsi="Calibri" w:cs="Calibri"/>
          <w:color w:val="auto"/>
          <w:sz w:val="22"/>
          <w:szCs w:val="22"/>
        </w:rPr>
      </w:pPr>
      <w:r w:rsidRPr="00EB1454">
        <w:rPr>
          <w:rFonts w:ascii="Calibri" w:hAnsi="Calibri" w:cs="Calibri"/>
          <w:color w:val="auto"/>
          <w:sz w:val="22"/>
          <w:szCs w:val="22"/>
        </w:rPr>
        <w:t>O contrato poderá ser extinto caso se constate que o contratado mantém vínculo de natureza técnica, comercial, econômica, financeira, trabalhista ou civil com dirigente do órgão ou entidade contratante ou com agente público que tenha desempenhado função na licitação ou atue na fiscalização ou na gestão do contrato, ou que deles seja cônjuge, companheiro ou parente em linha reta, colateral ou por afinidade, até o terceiro grau (art. 14, inciso IV, da Lei n.º 14.133, de 2021).</w:t>
      </w:r>
    </w:p>
    <w:p w14:paraId="62806C08"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TERCEIRA – DOTAÇÃO ORÇAMENTÁRIA </w:t>
      </w:r>
    </w:p>
    <w:p w14:paraId="73BD6C55"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As despesas decorrentes da presente contratação correrão à conta de recursos específicos consignados no Orçamento Geral da União deste exercício, na dotação abaixo discriminada:</w:t>
      </w:r>
    </w:p>
    <w:p w14:paraId="44F1FBA1"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Gestão/Unidade: </w:t>
      </w:r>
    </w:p>
    <w:p w14:paraId="124F27F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Fonte de Recursos:  </w:t>
      </w:r>
    </w:p>
    <w:p w14:paraId="01BD8F85"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Programa de Trabalho: </w:t>
      </w:r>
    </w:p>
    <w:p w14:paraId="603791CB"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Elemento de Despesa: </w:t>
      </w:r>
    </w:p>
    <w:p w14:paraId="4EE10698"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 xml:space="preserve">Plano Interno: </w:t>
      </w:r>
    </w:p>
    <w:p w14:paraId="29C6CAA4" w14:textId="77777777" w:rsidR="00FC7494" w:rsidRPr="00B3681E" w:rsidRDefault="00FC7494" w:rsidP="00924530">
      <w:pPr>
        <w:pStyle w:val="Nivel3"/>
        <w:spacing w:line="240" w:lineRule="auto"/>
        <w:rPr>
          <w:rFonts w:ascii="Calibri" w:hAnsi="Calibri" w:cs="Calibri"/>
          <w:sz w:val="22"/>
          <w:szCs w:val="22"/>
        </w:rPr>
      </w:pPr>
      <w:r w:rsidRPr="00B3681E">
        <w:rPr>
          <w:rFonts w:ascii="Calibri" w:hAnsi="Calibri" w:cs="Calibri"/>
          <w:sz w:val="22"/>
          <w:szCs w:val="22"/>
        </w:rPr>
        <w:t>Nota de Empenho:</w:t>
      </w:r>
    </w:p>
    <w:p w14:paraId="4A58ABC0" w14:textId="77777777" w:rsidR="00FC7494" w:rsidRPr="00EB1454" w:rsidRDefault="00FC7494" w:rsidP="00924530">
      <w:pPr>
        <w:pStyle w:val="Nvel2-Red"/>
        <w:spacing w:line="240" w:lineRule="auto"/>
        <w:rPr>
          <w:rFonts w:ascii="Calibri" w:hAnsi="Calibri" w:cs="Calibri"/>
          <w:color w:val="auto"/>
          <w:sz w:val="22"/>
          <w:szCs w:val="22"/>
        </w:rPr>
      </w:pPr>
      <w:r w:rsidRPr="00EB1454">
        <w:rPr>
          <w:rFonts w:ascii="Calibri" w:hAnsi="Calibri" w:cs="Calibri"/>
          <w:color w:val="auto"/>
          <w:sz w:val="22"/>
          <w:szCs w:val="22"/>
        </w:rPr>
        <w:t>A dotação relativa aos exercícios financeiros subsequentes será indicada após aprovação da Lei Orçamentária respectiva e liberação dos créditos correspondentes, mediante apostilamento.</w:t>
      </w:r>
    </w:p>
    <w:p w14:paraId="46C1CB1A" w14:textId="77777777" w:rsidR="00FC7494" w:rsidRPr="00B3681E" w:rsidRDefault="00FC7494" w:rsidP="00924530">
      <w:pPr>
        <w:pStyle w:val="Nivel01"/>
        <w:rPr>
          <w:rFonts w:ascii="Calibri" w:hAnsi="Calibri" w:cs="Calibri"/>
          <w:color w:val="FFFFFF"/>
          <w:sz w:val="22"/>
          <w:szCs w:val="22"/>
        </w:rPr>
      </w:pPr>
      <w:r w:rsidRPr="00B3681E">
        <w:rPr>
          <w:rFonts w:ascii="Calibri" w:hAnsi="Calibri" w:cs="Calibri"/>
          <w:sz w:val="22"/>
          <w:szCs w:val="22"/>
        </w:rPr>
        <w:t xml:space="preserve">CLÁUSULA DÉCIMA QUARTA – DOS CASOS OMISSOS </w:t>
      </w:r>
    </w:p>
    <w:p w14:paraId="139982EF" w14:textId="77777777" w:rsidR="00FC7494" w:rsidRPr="00B3681E" w:rsidRDefault="00FC7494" w:rsidP="00924530">
      <w:pPr>
        <w:pStyle w:val="Nivel2"/>
        <w:spacing w:line="240" w:lineRule="auto"/>
        <w:rPr>
          <w:rFonts w:ascii="Calibri" w:hAnsi="Calibri" w:cs="Calibri"/>
          <w:sz w:val="22"/>
          <w:szCs w:val="22"/>
        </w:rPr>
      </w:pPr>
      <w:r w:rsidRPr="00B3681E">
        <w:rPr>
          <w:rFonts w:ascii="Calibri" w:hAnsi="Calibri" w:cs="Calibri"/>
          <w:sz w:val="22"/>
          <w:szCs w:val="22"/>
        </w:rPr>
        <w:t xml:space="preserve">Os casos omissos serão decididos pelo contratante, segundo as disposições contidas na Lei </w:t>
      </w:r>
      <w:hyperlink r:id="rId36" w:history="1">
        <w:r w:rsidRPr="00B3681E">
          <w:rPr>
            <w:rStyle w:val="Hyperlink"/>
            <w:rFonts w:ascii="Calibri" w:hAnsi="Calibri" w:cs="Calibri"/>
            <w:sz w:val="22"/>
            <w:szCs w:val="22"/>
          </w:rPr>
          <w:t>nº 14.133, de 2021</w:t>
        </w:r>
      </w:hyperlink>
      <w:r w:rsidRPr="00B3681E">
        <w:rPr>
          <w:rFonts w:ascii="Calibri" w:hAnsi="Calibri" w:cs="Calibri"/>
          <w:sz w:val="22"/>
          <w:szCs w:val="22"/>
        </w:rPr>
        <w:t xml:space="preserve">, e demais normas federais aplicáveis e, subsidiariamente, segundo as disposições contidas na </w:t>
      </w:r>
      <w:hyperlink r:id="rId37" w:history="1">
        <w:r w:rsidRPr="00B3681E">
          <w:rPr>
            <w:rStyle w:val="Hyperlink"/>
            <w:rFonts w:ascii="Calibri" w:hAnsi="Calibri" w:cs="Calibri"/>
            <w:sz w:val="22"/>
            <w:szCs w:val="22"/>
          </w:rPr>
          <w:t>Lei nº 8.078, de 1990 – Código de Defesa do Consumidor</w:t>
        </w:r>
      </w:hyperlink>
      <w:r w:rsidRPr="00B3681E">
        <w:rPr>
          <w:rFonts w:ascii="Calibri" w:hAnsi="Calibri" w:cs="Calibri"/>
          <w:sz w:val="22"/>
          <w:szCs w:val="22"/>
        </w:rPr>
        <w:t xml:space="preserve"> – e normas e princípios gerais dos contratos.</w:t>
      </w:r>
    </w:p>
    <w:p w14:paraId="0340C02D" w14:textId="77777777" w:rsidR="00FC7494" w:rsidRPr="00EB1454" w:rsidRDefault="00FC7494" w:rsidP="00924530">
      <w:pPr>
        <w:pStyle w:val="Nivel01"/>
        <w:rPr>
          <w:rFonts w:ascii="Calibri" w:hAnsi="Calibri" w:cs="Calibri"/>
          <w:color w:val="FFFFFF"/>
        </w:rPr>
      </w:pPr>
      <w:r w:rsidRPr="00EB1454">
        <w:rPr>
          <w:rFonts w:ascii="Calibri" w:hAnsi="Calibri" w:cs="Calibri"/>
        </w:rPr>
        <w:t>CLÁUSULA DÉCIMA QUINTA – ALTERAÇÕES</w:t>
      </w:r>
    </w:p>
    <w:p w14:paraId="66193E6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Eventuais alterações contratuais reger-se-ão pela disciplina dos </w:t>
      </w:r>
      <w:hyperlink r:id="rId38" w:anchor="art124" w:history="1">
        <w:r w:rsidRPr="00CA4643">
          <w:rPr>
            <w:rStyle w:val="Hyperlink"/>
            <w:rFonts w:ascii="Calibri" w:hAnsi="Calibri" w:cs="Calibri"/>
            <w:sz w:val="22"/>
            <w:szCs w:val="22"/>
          </w:rPr>
          <w:t>arts. 124 e seguintes da Lei nº 14.133, de 2021</w:t>
        </w:r>
      </w:hyperlink>
      <w:r w:rsidRPr="00CA4643">
        <w:rPr>
          <w:rFonts w:ascii="Calibri" w:hAnsi="Calibri" w:cs="Calibri"/>
          <w:sz w:val="22"/>
          <w:szCs w:val="22"/>
        </w:rPr>
        <w:t>.</w:t>
      </w:r>
    </w:p>
    <w:p w14:paraId="717C2799"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lastRenderedPageBreak/>
        <w:t>O contratado é obrigado a aceitar, nas mesmas condições contratuais, os acréscimos ou supressões que se fizerem necessários, até o limite de 25% (vinte e cinco por cento) do valor inicial atualizado do contrato.</w:t>
      </w:r>
    </w:p>
    <w:p w14:paraId="4308072D"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26082716"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Registros que não caracterizam alteração do contrato podem ser realizados por simples apostila, dispensada a celebração de termo aditivo, na forma do </w:t>
      </w:r>
      <w:hyperlink r:id="rId39" w:anchor="art136" w:history="1">
        <w:r w:rsidRPr="00CA4643">
          <w:rPr>
            <w:rStyle w:val="Hyperlink"/>
            <w:rFonts w:ascii="Calibri" w:hAnsi="Calibri" w:cs="Calibri"/>
            <w:sz w:val="22"/>
            <w:szCs w:val="22"/>
          </w:rPr>
          <w:t>art. 136 da Lei nº 14.133, de 2021</w:t>
        </w:r>
      </w:hyperlink>
      <w:r w:rsidRPr="00CA4643">
        <w:rPr>
          <w:rFonts w:ascii="Calibri" w:hAnsi="Calibri" w:cs="Calibri"/>
          <w:sz w:val="22"/>
          <w:szCs w:val="22"/>
        </w:rPr>
        <w:t>.</w:t>
      </w:r>
    </w:p>
    <w:p w14:paraId="21D03363"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CLÁUSULA DÉCIMA SEXTA – PUBLICAÇÃO</w:t>
      </w:r>
    </w:p>
    <w:p w14:paraId="4B501FE0"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sz w:val="22"/>
          <w:szCs w:val="22"/>
        </w:rPr>
        <w:t xml:space="preserve">Incumbirá ao contratante divulgar o presente instrumento no Portal Nacional de Contratações Públicas (PNCP), na forma prevista no </w:t>
      </w:r>
      <w:hyperlink r:id="rId40" w:anchor="art94" w:history="1">
        <w:r w:rsidRPr="00CA4643">
          <w:rPr>
            <w:rStyle w:val="Hyperlink"/>
            <w:rFonts w:ascii="Calibri" w:hAnsi="Calibri" w:cs="Calibri"/>
            <w:sz w:val="22"/>
            <w:szCs w:val="22"/>
          </w:rPr>
          <w:t>art. 94 da Lei 14.133, de 2021</w:t>
        </w:r>
      </w:hyperlink>
      <w:r w:rsidRPr="00CA4643">
        <w:rPr>
          <w:rFonts w:ascii="Calibri" w:hAnsi="Calibri" w:cs="Calibri"/>
          <w:sz w:val="22"/>
          <w:szCs w:val="22"/>
        </w:rPr>
        <w:t xml:space="preserve">, bem como no respectivo sítio oficial na Internet, em atenção ao art. 91, </w:t>
      </w:r>
      <w:r w:rsidRPr="00CA4643">
        <w:rPr>
          <w:rFonts w:ascii="Calibri" w:hAnsi="Calibri" w:cs="Calibri"/>
          <w:i/>
          <w:sz w:val="22"/>
          <w:szCs w:val="22"/>
        </w:rPr>
        <w:t>caput,</w:t>
      </w:r>
      <w:r w:rsidRPr="00CA4643">
        <w:rPr>
          <w:rFonts w:ascii="Calibri" w:hAnsi="Calibri" w:cs="Calibri"/>
          <w:sz w:val="22"/>
          <w:szCs w:val="22"/>
        </w:rPr>
        <w:t xml:space="preserve"> da Lei n.º 14.133, de 2021, e ao </w:t>
      </w:r>
      <w:hyperlink r:id="rId41" w:anchor="art8§2" w:history="1">
        <w:r w:rsidRPr="00CA4643">
          <w:rPr>
            <w:rStyle w:val="Hyperlink"/>
            <w:rFonts w:ascii="Calibri" w:hAnsi="Calibri" w:cs="Calibri"/>
            <w:sz w:val="22"/>
            <w:szCs w:val="22"/>
          </w:rPr>
          <w:t>art. 8º, §2º, da Lei n. 12.527, de 2011</w:t>
        </w:r>
      </w:hyperlink>
      <w:r w:rsidRPr="00CA4643">
        <w:rPr>
          <w:rFonts w:ascii="Calibri" w:hAnsi="Calibri" w:cs="Calibri"/>
          <w:sz w:val="22"/>
          <w:szCs w:val="22"/>
        </w:rPr>
        <w:t xml:space="preserve">, c/c </w:t>
      </w:r>
      <w:hyperlink r:id="rId42" w:anchor="art7§3" w:history="1">
        <w:r w:rsidRPr="00CA4643">
          <w:rPr>
            <w:rStyle w:val="Hyperlink"/>
            <w:rFonts w:ascii="Calibri" w:hAnsi="Calibri" w:cs="Calibri"/>
            <w:sz w:val="22"/>
            <w:szCs w:val="22"/>
          </w:rPr>
          <w:t>art. 7º, §3º, inciso V, do Decreto n. 7.724, de 2012</w:t>
        </w:r>
      </w:hyperlink>
      <w:r w:rsidRPr="00CA4643">
        <w:rPr>
          <w:rFonts w:ascii="Calibri" w:hAnsi="Calibri" w:cs="Calibri"/>
          <w:sz w:val="22"/>
          <w:szCs w:val="22"/>
        </w:rPr>
        <w:t>.</w:t>
      </w:r>
    </w:p>
    <w:p w14:paraId="5BE3B615" w14:textId="77777777" w:rsidR="00FC7494" w:rsidRPr="00CA4643" w:rsidRDefault="00FC7494" w:rsidP="00924530">
      <w:pPr>
        <w:pStyle w:val="Nivel01"/>
        <w:rPr>
          <w:rFonts w:ascii="Calibri" w:hAnsi="Calibri" w:cs="Calibri"/>
          <w:color w:val="FFFFFF"/>
          <w:sz w:val="22"/>
          <w:szCs w:val="22"/>
        </w:rPr>
      </w:pPr>
      <w:r w:rsidRPr="00CA4643">
        <w:rPr>
          <w:rFonts w:ascii="Calibri" w:hAnsi="Calibri" w:cs="Calibri"/>
          <w:sz w:val="22"/>
          <w:szCs w:val="22"/>
        </w:rPr>
        <w:t xml:space="preserve">CLÁUSULA DÉCIMA SÉTIMA– FORO </w:t>
      </w:r>
    </w:p>
    <w:p w14:paraId="49CD1813" w14:textId="77777777" w:rsidR="00FC7494" w:rsidRPr="00CA4643" w:rsidRDefault="00FC7494" w:rsidP="00924530">
      <w:pPr>
        <w:pStyle w:val="Nivel2"/>
        <w:spacing w:line="240" w:lineRule="auto"/>
        <w:rPr>
          <w:rFonts w:ascii="Calibri" w:hAnsi="Calibri" w:cs="Calibri"/>
          <w:sz w:val="22"/>
          <w:szCs w:val="22"/>
        </w:rPr>
      </w:pPr>
      <w:r w:rsidRPr="00CA4643">
        <w:rPr>
          <w:rFonts w:ascii="Calibri" w:hAnsi="Calibri" w:cs="Calibri"/>
          <w:color w:val="auto"/>
          <w:sz w:val="22"/>
          <w:szCs w:val="22"/>
          <w:lang w:eastAsia="en-US"/>
        </w:rPr>
        <w:t>Fica eleito o Foro do município de Saquarema/RJ</w:t>
      </w:r>
      <w:r w:rsidRPr="00CA4643">
        <w:rPr>
          <w:rFonts w:ascii="Calibri" w:hAnsi="Calibri" w:cs="Calibri"/>
          <w:sz w:val="22"/>
          <w:szCs w:val="22"/>
        </w:rPr>
        <w:t xml:space="preserve"> para dirimir os litígios que decorrerem da execução deste Termo de Contrato que não puderem ser compostos pela conciliação, conforme </w:t>
      </w:r>
      <w:hyperlink r:id="rId43" w:anchor="art92§1" w:history="1">
        <w:r w:rsidRPr="00CA4643">
          <w:rPr>
            <w:rStyle w:val="Hyperlink"/>
            <w:rFonts w:ascii="Calibri" w:hAnsi="Calibri" w:cs="Calibri"/>
            <w:sz w:val="22"/>
            <w:szCs w:val="22"/>
          </w:rPr>
          <w:t>art. 92, §1º, da Lei nº 14.133/21</w:t>
        </w:r>
      </w:hyperlink>
      <w:r w:rsidRPr="00CA4643">
        <w:rPr>
          <w:rFonts w:ascii="Calibri" w:hAnsi="Calibri" w:cs="Calibri"/>
          <w:sz w:val="22"/>
          <w:szCs w:val="22"/>
        </w:rPr>
        <w:t>.</w:t>
      </w:r>
    </w:p>
    <w:p w14:paraId="37A1E433" w14:textId="77777777"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p>
    <w:p w14:paraId="5C215F93" w14:textId="5D0583E6" w:rsidR="00FC7494" w:rsidRPr="00CA4643" w:rsidRDefault="00FC7494" w:rsidP="00924530">
      <w:pPr>
        <w:pStyle w:val="Nivel2"/>
        <w:numPr>
          <w:ilvl w:val="0"/>
          <w:numId w:val="0"/>
        </w:numPr>
        <w:spacing w:afterLines="120" w:after="288" w:line="240" w:lineRule="auto"/>
        <w:ind w:firstLine="567"/>
        <w:jc w:val="right"/>
        <w:rPr>
          <w:rFonts w:ascii="Calibri" w:hAnsi="Calibri" w:cs="Calibri"/>
          <w:i/>
          <w:iCs/>
          <w:color w:val="auto"/>
          <w:sz w:val="22"/>
          <w:szCs w:val="22"/>
        </w:rPr>
      </w:pPr>
      <w:r w:rsidRPr="00CA4643">
        <w:rPr>
          <w:rFonts w:ascii="Calibri" w:hAnsi="Calibri" w:cs="Calibri"/>
          <w:i/>
          <w:iCs/>
          <w:color w:val="auto"/>
          <w:sz w:val="22"/>
          <w:szCs w:val="22"/>
        </w:rPr>
        <w:t>[Local], [dia] de [mês] de [ano].</w:t>
      </w:r>
    </w:p>
    <w:p w14:paraId="075C7FF8"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_________________________</w:t>
      </w:r>
    </w:p>
    <w:p w14:paraId="02A60059" w14:textId="77777777" w:rsidR="00FC7494" w:rsidRPr="00CA4643" w:rsidRDefault="00FC7494" w:rsidP="00CA4643">
      <w:pPr>
        <w:spacing w:before="120" w:afterLines="120" w:after="288" w:line="360" w:lineRule="auto"/>
        <w:ind w:firstLine="567"/>
        <w:jc w:val="center"/>
        <w:rPr>
          <w:rFonts w:cs="Calibri"/>
          <w:bCs/>
          <w:color w:val="auto"/>
        </w:rPr>
      </w:pPr>
      <w:r w:rsidRPr="00CA4643">
        <w:rPr>
          <w:rFonts w:cs="Calibri"/>
          <w:bCs/>
          <w:color w:val="auto"/>
        </w:rPr>
        <w:t>Representante legal do CONTRATANTE</w:t>
      </w:r>
    </w:p>
    <w:p w14:paraId="3568131A"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color w:val="auto"/>
        </w:rPr>
        <w:t>_________________________</w:t>
      </w:r>
    </w:p>
    <w:p w14:paraId="74B18BD6" w14:textId="77777777" w:rsidR="00FC7494" w:rsidRPr="00CA4643" w:rsidRDefault="00FC7494" w:rsidP="00CA4643">
      <w:pPr>
        <w:spacing w:before="120" w:afterLines="120" w:after="288" w:line="360" w:lineRule="auto"/>
        <w:ind w:firstLine="567"/>
        <w:jc w:val="center"/>
        <w:rPr>
          <w:rFonts w:cs="Calibri"/>
          <w:color w:val="auto"/>
        </w:rPr>
      </w:pPr>
      <w:r w:rsidRPr="00CA4643">
        <w:rPr>
          <w:rFonts w:cs="Calibri"/>
          <w:bCs/>
          <w:color w:val="auto"/>
        </w:rPr>
        <w:t>Representante</w:t>
      </w:r>
      <w:r w:rsidRPr="00CA4643">
        <w:rPr>
          <w:rFonts w:cs="Calibri"/>
          <w:color w:val="auto"/>
        </w:rPr>
        <w:t xml:space="preserve"> legal do CONTRATADO</w:t>
      </w:r>
    </w:p>
    <w:p w14:paraId="5A4E74D8" w14:textId="77777777" w:rsidR="00FC7494" w:rsidRPr="00CA4643" w:rsidRDefault="00FC7494" w:rsidP="00CA4643">
      <w:pPr>
        <w:spacing w:before="120" w:afterLines="120" w:after="288" w:line="360" w:lineRule="auto"/>
        <w:ind w:firstLine="567"/>
        <w:jc w:val="both"/>
        <w:rPr>
          <w:rFonts w:cs="Calibri"/>
          <w:i/>
          <w:iCs/>
          <w:color w:val="auto"/>
        </w:rPr>
      </w:pPr>
      <w:r w:rsidRPr="00CA4643">
        <w:rPr>
          <w:rFonts w:cs="Calibri"/>
          <w:i/>
          <w:iCs/>
          <w:color w:val="auto"/>
        </w:rPr>
        <w:t>TESTEMUNHAS:</w:t>
      </w:r>
    </w:p>
    <w:p w14:paraId="0C7D6A74" w14:textId="555E493F" w:rsidR="00CA4643" w:rsidRPr="00CA4643" w:rsidRDefault="00FC7494" w:rsidP="00CA4643">
      <w:pPr>
        <w:spacing w:before="120" w:afterLines="120" w:after="288" w:line="360" w:lineRule="auto"/>
        <w:ind w:firstLine="567"/>
        <w:rPr>
          <w:rFonts w:cs="Calibri"/>
          <w:color w:val="auto"/>
        </w:rPr>
      </w:pPr>
      <w:r w:rsidRPr="00CA4643">
        <w:rPr>
          <w:rFonts w:cs="Calibri"/>
          <w:i/>
          <w:iCs/>
          <w:color w:val="auto"/>
        </w:rPr>
        <w:t>1-</w:t>
      </w:r>
      <w:r w:rsidR="00CA4643">
        <w:rPr>
          <w:rFonts w:cs="Calibri"/>
          <w:i/>
          <w:iCs/>
          <w:color w:val="auto"/>
        </w:rPr>
        <w:t xml:space="preserve">                                    </w:t>
      </w:r>
      <w:r w:rsidR="00CA4643" w:rsidRPr="00CA4643">
        <w:rPr>
          <w:rFonts w:cs="Calibri"/>
          <w:i/>
          <w:iCs/>
          <w:color w:val="auto"/>
        </w:rPr>
        <w:t xml:space="preserve">2- </w:t>
      </w:r>
    </w:p>
    <w:sectPr w:rsidR="00CA4643" w:rsidRPr="00CA4643" w:rsidSect="00F334CC">
      <w:headerReference w:type="default" r:id="rId44"/>
      <w:footerReference w:type="default" r:id="rId45"/>
      <w:pgSz w:w="11906" w:h="16838"/>
      <w:pgMar w:top="2881" w:right="1701" w:bottom="1417" w:left="1701" w:header="227" w:footer="217" w:gutter="0"/>
      <w:pgNumType w:start="41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3653B892">
          <wp:extent cx="6658298" cy="661035"/>
          <wp:effectExtent l="0" t="0" r="9525" b="5715"/>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682124" cy="663400"/>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3EFD43D0"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26290D">
            <w:rPr>
              <w:rFonts w:cs="Calibri"/>
            </w:rPr>
            <w:t xml:space="preserve"> </w:t>
          </w:r>
          <w:r w:rsidR="00BA68FC">
            <w:rPr>
              <w:rFonts w:cs="Calibri"/>
            </w:rPr>
            <w:t>033</w:t>
          </w:r>
          <w:r w:rsidR="0026290D">
            <w:rPr>
              <w:rFonts w:cs="Calibri"/>
            </w:rPr>
            <w:t>/202</w:t>
          </w:r>
          <w:r w:rsidR="00BA68FC">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EA93BB4" w:rsidR="00657797" w:rsidRDefault="00657797" w:rsidP="00905980">
          <w:pPr>
            <w:pStyle w:val="Cabealho"/>
          </w:pPr>
          <w:r>
            <w:t xml:space="preserve">FLS. </w:t>
          </w:r>
          <w:r w:rsidR="00905980">
            <w:t xml:space="preserve">  </w:t>
          </w:r>
          <w:sdt>
            <w:sdtPr>
              <w:id w:val="-2117824776"/>
              <w:docPartObj>
                <w:docPartGallery w:val="Page Numbers (Top of Page)"/>
              </w:docPartObj>
            </w:sdtPr>
            <w:sdtEndPr/>
            <w:sdtContent>
              <w:r w:rsidR="00905980">
                <w:fldChar w:fldCharType="begin"/>
              </w:r>
              <w:r w:rsidR="00905980">
                <w:instrText>PAGE   \* MERGEFORMAT</w:instrText>
              </w:r>
              <w:r w:rsidR="00905980">
                <w:fldChar w:fldCharType="separate"/>
              </w:r>
              <w:r w:rsidR="00905980">
                <w:t>2</w:t>
              </w:r>
              <w:r w:rsidR="00905980">
                <w:fldChar w:fldCharType="end"/>
              </w:r>
            </w:sdtContent>
          </w:sdt>
          <w:r w:rsidR="00905980">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9101A4D"/>
    <w:multiLevelType w:val="multilevel"/>
    <w:tmpl w:val="0C36CAA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tentative="1">
      <w:start w:val="1"/>
      <w:numFmt w:val="lowerLetter"/>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4" w15:restartNumberingAfterBreak="0">
    <w:nsid w:val="1D5C100D"/>
    <w:multiLevelType w:val="multilevel"/>
    <w:tmpl w:val="62CA744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0"/>
        <w:szCs w:val="20"/>
        <w:u w:val="none"/>
      </w:rPr>
    </w:lvl>
    <w:lvl w:ilvl="2">
      <w:start w:val="1"/>
      <w:numFmt w:val="decimal"/>
      <w:pStyle w:val="Nivel3"/>
      <w:lvlText w:val="%1.%2.%3."/>
      <w:lvlJc w:val="left"/>
      <w:pPr>
        <w:ind w:left="3198" w:hanging="504"/>
      </w:pPr>
      <w:rPr>
        <w:rFonts w:asciiTheme="minorHAnsi" w:hAnsiTheme="minorHAnsi" w:cstheme="minorHAnsi"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num>
  <w:num w:numId="10">
    <w:abstractNumId w:val="0"/>
  </w:num>
  <w:num w:numId="11">
    <w:abstractNumId w:val="1"/>
  </w:num>
  <w:num w:numId="12">
    <w:abstractNumId w:val="12"/>
  </w:num>
  <w:num w:numId="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4233"/>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6290D"/>
    <w:rsid w:val="00265396"/>
    <w:rsid w:val="002730AA"/>
    <w:rsid w:val="00274C60"/>
    <w:rsid w:val="002852AE"/>
    <w:rsid w:val="002909D7"/>
    <w:rsid w:val="00294B7E"/>
    <w:rsid w:val="00295A70"/>
    <w:rsid w:val="002B0DAC"/>
    <w:rsid w:val="002C3830"/>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1488C"/>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8770B"/>
    <w:rsid w:val="00490635"/>
    <w:rsid w:val="00494BAB"/>
    <w:rsid w:val="004B231A"/>
    <w:rsid w:val="004C1484"/>
    <w:rsid w:val="004C37EC"/>
    <w:rsid w:val="004C7406"/>
    <w:rsid w:val="004C7956"/>
    <w:rsid w:val="004E0C88"/>
    <w:rsid w:val="004E32D2"/>
    <w:rsid w:val="004F3581"/>
    <w:rsid w:val="00531A9F"/>
    <w:rsid w:val="00531CC1"/>
    <w:rsid w:val="00532982"/>
    <w:rsid w:val="005422F9"/>
    <w:rsid w:val="00542422"/>
    <w:rsid w:val="00546915"/>
    <w:rsid w:val="00547BC2"/>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A43D2"/>
    <w:rsid w:val="006B3318"/>
    <w:rsid w:val="006D23E5"/>
    <w:rsid w:val="006E401D"/>
    <w:rsid w:val="006E6B97"/>
    <w:rsid w:val="006F2B04"/>
    <w:rsid w:val="0070097C"/>
    <w:rsid w:val="00701B22"/>
    <w:rsid w:val="007047E9"/>
    <w:rsid w:val="007079D0"/>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05980"/>
    <w:rsid w:val="0091222C"/>
    <w:rsid w:val="00912B0F"/>
    <w:rsid w:val="00917137"/>
    <w:rsid w:val="009212B8"/>
    <w:rsid w:val="009237DF"/>
    <w:rsid w:val="00924530"/>
    <w:rsid w:val="00925C52"/>
    <w:rsid w:val="00946F6E"/>
    <w:rsid w:val="009625F6"/>
    <w:rsid w:val="0096382E"/>
    <w:rsid w:val="00966701"/>
    <w:rsid w:val="009924CA"/>
    <w:rsid w:val="009B291E"/>
    <w:rsid w:val="009C0B50"/>
    <w:rsid w:val="009C11D9"/>
    <w:rsid w:val="009C208E"/>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4C17"/>
    <w:rsid w:val="00AD6218"/>
    <w:rsid w:val="00AF3AAC"/>
    <w:rsid w:val="00B23A94"/>
    <w:rsid w:val="00B258A3"/>
    <w:rsid w:val="00B30966"/>
    <w:rsid w:val="00B40B7D"/>
    <w:rsid w:val="00B57C4E"/>
    <w:rsid w:val="00B63986"/>
    <w:rsid w:val="00B65B27"/>
    <w:rsid w:val="00B70371"/>
    <w:rsid w:val="00B71C21"/>
    <w:rsid w:val="00B802CC"/>
    <w:rsid w:val="00B80E3E"/>
    <w:rsid w:val="00B84504"/>
    <w:rsid w:val="00B87BDF"/>
    <w:rsid w:val="00B9419B"/>
    <w:rsid w:val="00B94AEF"/>
    <w:rsid w:val="00BA0888"/>
    <w:rsid w:val="00BA65A9"/>
    <w:rsid w:val="00BA68FC"/>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4643"/>
    <w:rsid w:val="00CA61CE"/>
    <w:rsid w:val="00CC61D6"/>
    <w:rsid w:val="00CD235B"/>
    <w:rsid w:val="00CE4745"/>
    <w:rsid w:val="00CE4E6A"/>
    <w:rsid w:val="00CF4CD1"/>
    <w:rsid w:val="00D0216C"/>
    <w:rsid w:val="00D077EF"/>
    <w:rsid w:val="00D137BC"/>
    <w:rsid w:val="00D143F9"/>
    <w:rsid w:val="00D16F82"/>
    <w:rsid w:val="00D17545"/>
    <w:rsid w:val="00D31C6E"/>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34CC"/>
    <w:rsid w:val="00F57CB2"/>
    <w:rsid w:val="00F67ABE"/>
    <w:rsid w:val="00F67CD3"/>
    <w:rsid w:val="00F82B2D"/>
    <w:rsid w:val="00F82FDD"/>
    <w:rsid w:val="00F84846"/>
    <w:rsid w:val="00FA265E"/>
    <w:rsid w:val="00FA5A9C"/>
    <w:rsid w:val="00FA705E"/>
    <w:rsid w:val="00FB401F"/>
    <w:rsid w:val="00FC6275"/>
    <w:rsid w:val="00FC7494"/>
    <w:rsid w:val="00FD29B9"/>
    <w:rsid w:val="00FD59D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CabealhoChar1">
    <w:name w:val="Cabeçalho Char1"/>
    <w:basedOn w:val="Fontepargpadro"/>
    <w:uiPriority w:val="99"/>
    <w:semiHidden/>
    <w:rsid w:val="00FC7494"/>
    <w:rPr>
      <w:rFonts w:eastAsia="Calibri" w:cs="Times New Roman"/>
      <w:color w:val="00000A"/>
      <w:sz w:val="22"/>
      <w:szCs w:val="22"/>
      <w:lang w:eastAsia="en-US"/>
    </w:rPr>
  </w:style>
  <w:style w:type="character" w:customStyle="1" w:styleId="RodapChar1">
    <w:name w:val="Rodapé Char1"/>
    <w:basedOn w:val="Fontepargpadro"/>
    <w:uiPriority w:val="99"/>
    <w:semiHidden/>
    <w:rsid w:val="00FC7494"/>
    <w:rPr>
      <w:rFonts w:eastAsia="Calibri" w:cs="Times New Roman"/>
      <w:color w:val="00000A"/>
      <w:sz w:val="22"/>
      <w:szCs w:val="22"/>
      <w:lang w:eastAsia="en-US"/>
    </w:rPr>
  </w:style>
  <w:style w:type="character" w:customStyle="1" w:styleId="TextodebaloChar1">
    <w:name w:val="Texto de balão Char1"/>
    <w:basedOn w:val="Fontepargpadro"/>
    <w:uiPriority w:val="99"/>
    <w:semiHidden/>
    <w:rsid w:val="00FC7494"/>
    <w:rPr>
      <w:rFonts w:ascii="Segoe UI" w:eastAsia="Calibri" w:hAnsi="Segoe UI" w:cs="Segoe UI"/>
      <w:color w:val="00000A"/>
      <w:sz w:val="18"/>
      <w:szCs w:val="18"/>
      <w:lang w:eastAsia="en-US"/>
    </w:rPr>
  </w:style>
  <w:style w:type="paragraph" w:customStyle="1" w:styleId="Nivel01">
    <w:name w:val="Nivel 01"/>
    <w:basedOn w:val="Ttulo1"/>
    <w:next w:val="Normal"/>
    <w:link w:val="Nivel01Char"/>
    <w:qFormat/>
    <w:rsid w:val="00FC7494"/>
    <w:pPr>
      <w:keepNext/>
      <w:keepLines/>
      <w:widowControl/>
      <w:numPr>
        <w:numId w:val="9"/>
      </w:numPr>
      <w:tabs>
        <w:tab w:val="left" w:pos="567"/>
      </w:tabs>
      <w:autoSpaceDE/>
      <w:autoSpaceDN/>
      <w:spacing w:before="240"/>
      <w:ind w:left="0" w:firstLine="0"/>
      <w:jc w:val="both"/>
    </w:pPr>
    <w:rPr>
      <w:rFonts w:ascii="Arial" w:eastAsia="Times New Roman" w:hAnsi="Arial" w:cs="Arial"/>
      <w:sz w:val="20"/>
      <w:szCs w:val="20"/>
      <w:lang w:val="pt-BR" w:eastAsia="pt-BR"/>
    </w:rPr>
  </w:style>
  <w:style w:type="character" w:customStyle="1" w:styleId="Nivel01Char">
    <w:name w:val="Nivel 01 Char"/>
    <w:link w:val="Nivel01"/>
    <w:rsid w:val="00FC7494"/>
    <w:rPr>
      <w:rFonts w:ascii="Arial" w:eastAsia="Times New Roman" w:hAnsi="Arial" w:cs="Arial"/>
      <w:b/>
      <w:bCs/>
      <w:sz w:val="20"/>
      <w:szCs w:val="20"/>
      <w:lang w:eastAsia="pt-BR"/>
    </w:rPr>
  </w:style>
  <w:style w:type="paragraph" w:customStyle="1" w:styleId="Nivel2">
    <w:name w:val="Nivel 2"/>
    <w:basedOn w:val="Normal"/>
    <w:link w:val="Nivel2Char"/>
    <w:qFormat/>
    <w:rsid w:val="00FC7494"/>
    <w:pPr>
      <w:numPr>
        <w:ilvl w:val="1"/>
        <w:numId w:val="9"/>
      </w:numPr>
      <w:suppressAutoHyphens w:val="0"/>
      <w:spacing w:before="120" w:after="120"/>
      <w:ind w:left="0" w:firstLine="0"/>
      <w:jc w:val="both"/>
    </w:pPr>
    <w:rPr>
      <w:rFonts w:ascii="Arial" w:eastAsia="Times New Roman" w:hAnsi="Arial" w:cs="Arial"/>
      <w:color w:val="000000"/>
      <w:sz w:val="20"/>
      <w:szCs w:val="20"/>
      <w:lang w:eastAsia="pt-BR"/>
    </w:rPr>
  </w:style>
  <w:style w:type="paragraph" w:customStyle="1" w:styleId="Nivel3">
    <w:name w:val="Nivel 3"/>
    <w:basedOn w:val="Normal"/>
    <w:link w:val="Nivel3Char"/>
    <w:qFormat/>
    <w:rsid w:val="00FC7494"/>
    <w:pPr>
      <w:numPr>
        <w:ilvl w:val="2"/>
        <w:numId w:val="9"/>
      </w:numPr>
      <w:suppressAutoHyphens w:val="0"/>
      <w:spacing w:before="120" w:after="120"/>
      <w:ind w:left="284" w:firstLine="0"/>
      <w:jc w:val="both"/>
    </w:pPr>
    <w:rPr>
      <w:rFonts w:ascii="Arial" w:eastAsia="Times New Roman" w:hAnsi="Arial" w:cs="Arial"/>
      <w:color w:val="000000"/>
      <w:sz w:val="20"/>
      <w:szCs w:val="20"/>
      <w:lang w:eastAsia="pt-BR"/>
    </w:rPr>
  </w:style>
  <w:style w:type="paragraph" w:customStyle="1" w:styleId="Nivel4">
    <w:name w:val="Nivel 4"/>
    <w:basedOn w:val="Nivel3"/>
    <w:link w:val="Nivel4Char"/>
    <w:qFormat/>
    <w:rsid w:val="00FC7494"/>
    <w:pPr>
      <w:numPr>
        <w:ilvl w:val="3"/>
      </w:numPr>
      <w:ind w:left="567" w:firstLine="0"/>
    </w:pPr>
    <w:rPr>
      <w:color w:val="auto"/>
    </w:rPr>
  </w:style>
  <w:style w:type="paragraph" w:customStyle="1" w:styleId="Nivel5">
    <w:name w:val="Nivel 5"/>
    <w:basedOn w:val="Nivel4"/>
    <w:qFormat/>
    <w:rsid w:val="00FC7494"/>
    <w:pPr>
      <w:numPr>
        <w:ilvl w:val="4"/>
      </w:numPr>
      <w:ind w:left="1276" w:firstLine="0"/>
    </w:pPr>
  </w:style>
  <w:style w:type="character" w:customStyle="1" w:styleId="Nivel4Char">
    <w:name w:val="Nivel 4 Char"/>
    <w:link w:val="Nivel4"/>
    <w:rsid w:val="00FC7494"/>
    <w:rPr>
      <w:rFonts w:ascii="Arial" w:eastAsia="Times New Roman" w:hAnsi="Arial" w:cs="Arial"/>
      <w:sz w:val="20"/>
      <w:szCs w:val="20"/>
      <w:lang w:eastAsia="pt-BR"/>
    </w:rPr>
  </w:style>
  <w:style w:type="character" w:customStyle="1" w:styleId="Nivel2Char">
    <w:name w:val="Nivel 2 Char"/>
    <w:link w:val="Nivel2"/>
    <w:locked/>
    <w:rsid w:val="00FC7494"/>
    <w:rPr>
      <w:rFonts w:ascii="Arial" w:eastAsia="Times New Roman" w:hAnsi="Arial" w:cs="Arial"/>
      <w:color w:val="000000"/>
      <w:sz w:val="20"/>
      <w:szCs w:val="20"/>
      <w:lang w:eastAsia="pt-BR"/>
    </w:rPr>
  </w:style>
  <w:style w:type="character" w:customStyle="1" w:styleId="PargrafodaListaChar">
    <w:name w:val="Parágrafo da Lista Char"/>
    <w:link w:val="PargrafodaLista"/>
    <w:uiPriority w:val="34"/>
    <w:rsid w:val="00FC7494"/>
    <w:rPr>
      <w:rFonts w:eastAsia="Calibri" w:cs="Times New Roman"/>
      <w:color w:val="00000A"/>
    </w:rPr>
  </w:style>
  <w:style w:type="paragraph" w:customStyle="1" w:styleId="ou">
    <w:name w:val="ou"/>
    <w:basedOn w:val="PargrafodaLista"/>
    <w:link w:val="ouChar"/>
    <w:qFormat/>
    <w:rsid w:val="00FC7494"/>
    <w:pPr>
      <w:suppressAutoHyphens w:val="0"/>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link w:val="ou"/>
    <w:rsid w:val="00FC7494"/>
    <w:rPr>
      <w:rFonts w:ascii="Arial" w:eastAsia="Calibri" w:hAnsi="Arial" w:cs="Arial"/>
      <w:b/>
      <w:bCs/>
      <w:i/>
      <w:iCs/>
      <w:color w:val="FF0000"/>
      <w:sz w:val="24"/>
      <w:szCs w:val="24"/>
      <w:u w:val="single"/>
      <w:lang w:eastAsia="pt-BR"/>
    </w:rPr>
  </w:style>
  <w:style w:type="paragraph" w:customStyle="1" w:styleId="Nvel2-Red">
    <w:name w:val="Nível 2 -Red"/>
    <w:basedOn w:val="Nivel2"/>
    <w:link w:val="Nvel2-RedChar"/>
    <w:qFormat/>
    <w:rsid w:val="00FC7494"/>
    <w:rPr>
      <w:i/>
      <w:iCs/>
      <w:color w:val="FF0000"/>
    </w:rPr>
  </w:style>
  <w:style w:type="paragraph" w:customStyle="1" w:styleId="Nvel3-R">
    <w:name w:val="Nível 3-R"/>
    <w:basedOn w:val="Nivel3"/>
    <w:link w:val="Nvel3-RChar"/>
    <w:qFormat/>
    <w:rsid w:val="00FC7494"/>
    <w:rPr>
      <w:i/>
      <w:iCs/>
      <w:color w:val="FF0000"/>
    </w:rPr>
  </w:style>
  <w:style w:type="character" w:customStyle="1" w:styleId="Nvel2-RedChar">
    <w:name w:val="Nível 2 -Red Char"/>
    <w:link w:val="Nvel2-Red"/>
    <w:rsid w:val="00FC7494"/>
    <w:rPr>
      <w:rFonts w:ascii="Arial" w:eastAsia="Times New Roman" w:hAnsi="Arial" w:cs="Arial"/>
      <w:i/>
      <w:iCs/>
      <w:color w:val="FF0000"/>
      <w:sz w:val="20"/>
      <w:szCs w:val="20"/>
      <w:lang w:eastAsia="pt-BR"/>
    </w:rPr>
  </w:style>
  <w:style w:type="paragraph" w:customStyle="1" w:styleId="Nvel4-R">
    <w:name w:val="Nível 4-R"/>
    <w:basedOn w:val="Nivel4"/>
    <w:link w:val="Nvel4-RChar"/>
    <w:qFormat/>
    <w:rsid w:val="00FC7494"/>
    <w:pPr>
      <w:ind w:left="851"/>
    </w:pPr>
    <w:rPr>
      <w:i/>
      <w:iCs/>
      <w:color w:val="FF0000"/>
    </w:rPr>
  </w:style>
  <w:style w:type="character" w:customStyle="1" w:styleId="Nivel3Char">
    <w:name w:val="Nivel 3 Char"/>
    <w:link w:val="Nivel3"/>
    <w:rsid w:val="00FC7494"/>
    <w:rPr>
      <w:rFonts w:ascii="Arial" w:eastAsia="Times New Roman" w:hAnsi="Arial" w:cs="Arial"/>
      <w:color w:val="000000"/>
      <w:sz w:val="20"/>
      <w:szCs w:val="20"/>
      <w:lang w:eastAsia="pt-BR"/>
    </w:rPr>
  </w:style>
  <w:style w:type="character" w:customStyle="1" w:styleId="Nvel3-RChar">
    <w:name w:val="Nível 3-R Char"/>
    <w:link w:val="Nvel3-R"/>
    <w:rsid w:val="00FC7494"/>
    <w:rPr>
      <w:rFonts w:ascii="Arial" w:eastAsia="Times New Roman" w:hAnsi="Arial" w:cs="Arial"/>
      <w:i/>
      <w:iCs/>
      <w:color w:val="FF0000"/>
      <w:sz w:val="20"/>
      <w:szCs w:val="20"/>
      <w:lang w:eastAsia="pt-BR"/>
    </w:rPr>
  </w:style>
  <w:style w:type="character" w:customStyle="1" w:styleId="Nvel4-RChar">
    <w:name w:val="Nível 4-R Char"/>
    <w:link w:val="Nvel4-R"/>
    <w:rsid w:val="00FC7494"/>
    <w:rPr>
      <w:rFonts w:ascii="Arial" w:eastAsia="Times New Roman" w:hAnsi="Arial" w:cs="Arial"/>
      <w:i/>
      <w:iCs/>
      <w:color w:val="FF0000"/>
      <w:sz w:val="20"/>
      <w:szCs w:val="20"/>
      <w:lang w:eastAsia="pt-BR"/>
    </w:rPr>
  </w:style>
  <w:style w:type="paragraph" w:customStyle="1" w:styleId="Prembulo">
    <w:name w:val="Preâmbulo"/>
    <w:basedOn w:val="Normal"/>
    <w:link w:val="PrembuloChar"/>
    <w:qFormat/>
    <w:rsid w:val="00FC7494"/>
    <w:pPr>
      <w:suppressAutoHyphens w:val="0"/>
      <w:spacing w:before="480" w:after="120" w:line="360" w:lineRule="auto"/>
      <w:ind w:left="4253" w:right="-17"/>
      <w:jc w:val="both"/>
    </w:pPr>
    <w:rPr>
      <w:rFonts w:ascii="Arial" w:eastAsia="Arial" w:hAnsi="Arial" w:cs="Arial"/>
      <w:bCs/>
      <w:color w:val="auto"/>
      <w:sz w:val="20"/>
      <w:szCs w:val="20"/>
      <w:lang w:eastAsia="pt-BR"/>
    </w:rPr>
  </w:style>
  <w:style w:type="character" w:customStyle="1" w:styleId="PrembuloChar">
    <w:name w:val="Preâmbulo Char"/>
    <w:link w:val="Prembulo"/>
    <w:rsid w:val="00FC7494"/>
    <w:rPr>
      <w:rFonts w:ascii="Arial" w:eastAsia="Arial" w:hAnsi="Arial" w:cs="Arial"/>
      <w:bCs/>
      <w:sz w:val="20"/>
      <w:szCs w:val="20"/>
      <w:lang w:eastAsia="pt-BR"/>
    </w:rPr>
  </w:style>
  <w:style w:type="character" w:styleId="Refdecomentrio">
    <w:name w:val="annotation reference"/>
    <w:uiPriority w:val="99"/>
    <w:semiHidden/>
    <w:unhideWhenUsed/>
    <w:rsid w:val="00FC7494"/>
    <w:rPr>
      <w:sz w:val="16"/>
      <w:szCs w:val="16"/>
    </w:rPr>
  </w:style>
  <w:style w:type="paragraph" w:styleId="Textodecomentrio">
    <w:name w:val="annotation text"/>
    <w:basedOn w:val="Normal"/>
    <w:link w:val="TextodecomentrioChar"/>
    <w:uiPriority w:val="99"/>
    <w:semiHidden/>
    <w:unhideWhenUsed/>
    <w:rsid w:val="00FC7494"/>
    <w:rPr>
      <w:sz w:val="20"/>
      <w:szCs w:val="20"/>
    </w:rPr>
  </w:style>
  <w:style w:type="character" w:customStyle="1" w:styleId="TextodecomentrioChar">
    <w:name w:val="Texto de comentário Char"/>
    <w:basedOn w:val="Fontepargpadro"/>
    <w:link w:val="Textodecomentrio"/>
    <w:uiPriority w:val="99"/>
    <w:semiHidden/>
    <w:rsid w:val="00FC7494"/>
    <w:rPr>
      <w:rFonts w:eastAsia="Calibri" w:cs="Times New Roman"/>
      <w:color w:val="00000A"/>
      <w:sz w:val="20"/>
      <w:szCs w:val="20"/>
    </w:rPr>
  </w:style>
  <w:style w:type="paragraph" w:styleId="Assuntodocomentrio">
    <w:name w:val="annotation subject"/>
    <w:basedOn w:val="Textodecomentrio"/>
    <w:next w:val="Textodecomentrio"/>
    <w:link w:val="AssuntodocomentrioChar"/>
    <w:uiPriority w:val="99"/>
    <w:semiHidden/>
    <w:unhideWhenUsed/>
    <w:rsid w:val="00FC7494"/>
    <w:rPr>
      <w:b/>
      <w:bCs/>
    </w:rPr>
  </w:style>
  <w:style w:type="character" w:customStyle="1" w:styleId="AssuntodocomentrioChar">
    <w:name w:val="Assunto do comentário Char"/>
    <w:basedOn w:val="TextodecomentrioChar"/>
    <w:link w:val="Assuntodocomentrio"/>
    <w:uiPriority w:val="99"/>
    <w:semiHidden/>
    <w:rsid w:val="00FC7494"/>
    <w:rPr>
      <w:rFonts w:eastAsia="Calibri" w:cs="Times New Roman"/>
      <w:b/>
      <w:bCs/>
      <w:color w:val="00000A"/>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124</TotalTime>
  <Pages>14</Pages>
  <Words>4146</Words>
  <Characters>22392</Characters>
  <Application>Microsoft Office Word</Application>
  <DocSecurity>0</DocSecurity>
  <Lines>186</Lines>
  <Paragraphs>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26486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29</cp:revision>
  <cp:lastPrinted>2026-06-26T13:16:00Z</cp:lastPrinted>
  <dcterms:created xsi:type="dcterms:W3CDTF">2021-03-24T12:13:00Z</dcterms:created>
  <dcterms:modified xsi:type="dcterms:W3CDTF">2026-07-02T16:39:00Z</dcterms:modified>
  <dc:language>pt-BR</dc:language>
</cp:coreProperties>
</file>